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926"/>
        <w:gridCol w:w="1618"/>
        <w:gridCol w:w="246"/>
        <w:gridCol w:w="1527"/>
        <w:gridCol w:w="1527"/>
        <w:gridCol w:w="877"/>
        <w:gridCol w:w="2911"/>
        <w:gridCol w:w="248"/>
      </w:tblGrid>
      <w:tr w:rsidR="00FD3B79" w:rsidRPr="00FD3B79" w:rsidTr="00FD3B79">
        <w:trPr>
          <w:trHeight w:val="255"/>
        </w:trPr>
        <w:tc>
          <w:tcPr>
            <w:tcW w:w="1926"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Level</w:t>
            </w:r>
          </w:p>
        </w:tc>
        <w:tc>
          <w:tcPr>
            <w:tcW w:w="1618"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46"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3054"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Provinsi Sumatera Selatan</w:t>
            </w:r>
          </w:p>
        </w:tc>
        <w:tc>
          <w:tcPr>
            <w:tcW w:w="877"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11"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3544"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Komponen</w:t>
            </w:r>
          </w:p>
        </w:tc>
        <w:tc>
          <w:tcPr>
            <w:tcW w:w="246"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3054"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B. Kapasitas Pemerintah</w:t>
            </w:r>
          </w:p>
        </w:tc>
        <w:tc>
          <w:tcPr>
            <w:tcW w:w="877"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11"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1926"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18"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246"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52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52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8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2911"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3790" w:type="dxa"/>
            <w:gridSpan w:val="3"/>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Isu dalam PGA REDD+</w:t>
            </w:r>
          </w:p>
        </w:tc>
        <w:tc>
          <w:tcPr>
            <w:tcW w:w="6842"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345"/>
        </w:trPr>
        <w:tc>
          <w:tcPr>
            <w:tcW w:w="3544"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246"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7090"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FD3B79" w:rsidRPr="00FD3B79" w:rsidTr="00FD3B79">
        <w:trPr>
          <w:trHeight w:val="255"/>
        </w:trPr>
        <w:tc>
          <w:tcPr>
            <w:tcW w:w="3544"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246"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6842"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856"/>
        <w:gridCol w:w="1277"/>
        <w:gridCol w:w="1635"/>
        <w:gridCol w:w="1080"/>
        <w:gridCol w:w="1820"/>
        <w:gridCol w:w="1070"/>
        <w:gridCol w:w="1765"/>
        <w:gridCol w:w="1382"/>
      </w:tblGrid>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29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BIa1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Latar belakang Pendidikan formal </w:t>
            </w:r>
          </w:p>
        </w:tc>
        <w:tc>
          <w:tcPr>
            <w:tcW w:w="1635"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dalam dokumen data kepegawaian dishut, tidak disebutkan secara spesifik berapa jumlah SDM yang terlibat pada urusan perencana. Data kepegawaian hanya bersifat general (jumlah keseluruhan, latar pendidikan, masa kerja, dan jabatan struktural/staf).Masih diperlukan banyak SDM terkait unit perencana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Di dinas kehutanan, total ada pegawai kurang lebih 140 orang. Sebagian besar pejabat eselonya berlatar belakang pendidikan s2 dari bidang yang sesuai jurusannya. </w:t>
            </w:r>
          </w:p>
        </w:tc>
        <w:tc>
          <w:tcPr>
            <w:tcW w:w="1382"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382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PU</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Daftar karyawan/karyawati Bidang tata ruang dan pengembangan perkotaan Dinas PU Cipta Karya Provinsi Sumsel</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Secara umum, latar belakang pendidikan SDM di perencanaan tata ruang PU Cipta Karya adalah ; planologi, lingkungan, teknik sipil, GIS. Ada tiga bidang tata ruang di cipta karya; 1. Seksi pemantauan dokumentasi, 2. Seksi ruang dan kawasan, 3 seksi tata ruang provinsi dan perkotaan.  </w:t>
            </w:r>
            <w:r w:rsidRPr="00FD3B79">
              <w:rPr>
                <w:rFonts w:ascii="Times New Roman" w:eastAsia="Times New Roman" w:hAnsi="Times New Roman" w:cs="Times New Roman"/>
                <w:color w:val="000000"/>
                <w:sz w:val="20"/>
                <w:szCs w:val="20"/>
                <w:lang w:eastAsia="id-ID"/>
              </w:rPr>
              <w:br/>
            </w:r>
            <w:r w:rsidRPr="00FD3B79">
              <w:rPr>
                <w:rFonts w:ascii="Times New Roman" w:eastAsia="Times New Roman" w:hAnsi="Times New Roman" w:cs="Times New Roman"/>
                <w:color w:val="000000"/>
                <w:sz w:val="20"/>
                <w:szCs w:val="20"/>
                <w:lang w:eastAsia="id-ID"/>
              </w:rPr>
              <w:br/>
              <w:t xml:space="preserve">Ada masing masing seksi ada 13 karyawan. Secara teknis, tiap seksi ada 3-4 orang yang memiliki kualifikasi perencana di tata ruang dg latar belakang </w:t>
            </w:r>
            <w:r w:rsidRPr="00FD3B79">
              <w:rPr>
                <w:rFonts w:ascii="Times New Roman" w:eastAsia="Times New Roman" w:hAnsi="Times New Roman" w:cs="Times New Roman"/>
                <w:color w:val="000000"/>
                <w:sz w:val="20"/>
                <w:szCs w:val="20"/>
                <w:lang w:eastAsia="id-ID"/>
              </w:rPr>
              <w:lastRenderedPageBreak/>
              <w:t>pendidikan yang sesuai kompetensi</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3</w:t>
            </w:r>
          </w:p>
        </w:tc>
      </w:tr>
      <w:tr w:rsidR="00FD3B79" w:rsidRPr="00FD3B79" w:rsidTr="00FD3B79">
        <w:trPr>
          <w:trHeight w:val="178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Bappeda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Dokumen Tidak dibeikan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Secara umum, SDM pada unit perencana latar belakang pendidikannya S1 dari teknik sipil 3 orang, GIS (Geografi Informasi System) 1 orang, planologi 2 orang, teknik lingkungan 1 orang, geodesi  1 orang. Total SDM pada unit perencana 15 orang dan itu menurut informan dianggap memadai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4</w:t>
            </w:r>
          </w:p>
        </w:tc>
      </w:tr>
      <w:tr w:rsidR="00FD3B79" w:rsidRPr="00FD3B79" w:rsidTr="00FD3B79">
        <w:trPr>
          <w:trHeight w:val="178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BKTR</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dokumen yang diberikan terkait SDM bidang perencana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Secara umum, SDM pada unit perencana latar belakang pendidikannya S1 dari teknik sipil 3 orang, GIS (Geografi Informasi System) 1 orang, planologi 2 orang, teknik lingkungan 1 orang, geodesi  1 orang. Total SDM pada unit perencana 15 orang dan itu menurut informan dianggap memadai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4</w:t>
            </w:r>
          </w:p>
        </w:tc>
      </w:tr>
      <w:tr w:rsidR="00FD3B79" w:rsidRPr="00FD3B79" w:rsidTr="00FD3B79">
        <w:trPr>
          <w:trHeight w:val="204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BIa2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Lama waktu kerja sebagai perencana </w:t>
            </w:r>
          </w:p>
        </w:tc>
        <w:tc>
          <w:tcPr>
            <w:tcW w:w="1635"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dalam dokumen data kepegawaian dishut, tidak disebutkan secara spesifik berapa lama waktu kerja SDM perencana. Secara umum hanya disebutkan bahwa masa kerja PNS di dishut antara 16-25 tahun khususnya yang struktural dan fungsional, (non staf)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4</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rata-rata SDM perencana yang bekerja di dinas kehutanan, masa kerjanya 16-25 tahun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4</w:t>
            </w:r>
          </w:p>
        </w:tc>
      </w:tr>
      <w:tr w:rsidR="00FD3B79" w:rsidRPr="00FD3B79" w:rsidTr="00FD3B79">
        <w:trPr>
          <w:trHeight w:val="76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PU</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karyawan/karyawati Bidang tata ruang dan pengembangan perkotaan Dinas PU Cipta Karya Provinsi Sumsel</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Masa kerja secara umum durasi lebih lima tahun bahkan ada yang sudah 20 tahun (super senior)</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5</w:t>
            </w:r>
          </w:p>
        </w:tc>
      </w:tr>
      <w:tr w:rsidR="00FD3B79" w:rsidRPr="00FD3B79" w:rsidTr="00FD3B79">
        <w:trPr>
          <w:trHeight w:val="76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Bappeda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dokumen yang diiberikan Bappeda  terkait SDM bidang perencana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Lama waktu kerja SDM pada unit perencana rata rata antara 5-10 tahun</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4</w:t>
            </w:r>
          </w:p>
        </w:tc>
      </w:tr>
      <w:tr w:rsidR="00FD3B79" w:rsidRPr="00FD3B79" w:rsidTr="00FD3B79">
        <w:trPr>
          <w:trHeight w:val="51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BKTR</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dokumen yang diberikan terkait SDM bidang perencana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Lama waktu kerja SDM pada unit perencana rata rata antara 5-10 tahun</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BIa3</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Sertifikat perencanaan wilayah </w:t>
            </w:r>
          </w:p>
        </w:tc>
        <w:tc>
          <w:tcPr>
            <w:tcW w:w="1635"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Data kepegawaian tidak menyebutkan secara khusus sertifikasi perencanaan wilayah yg dmiliki oleh SDM unit perencana. Akan tetapi hampir semua karyawan/pegawai Dishut pernah mengikuti pelatihan, bimtek, dan beberapa kursus terkait tupoksinya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Hamper semua tenaga unit perencana sudah memiliki sertifikat perencana, baik yang dilakukan oleh instansi vertical (kehutanan), maupun oleh NGO/Donor luar. Selain itu beberapa personalnya ada yang pernah diikutkan pelatihan diluar negeri. </w:t>
            </w:r>
          </w:p>
        </w:tc>
        <w:tc>
          <w:tcPr>
            <w:tcW w:w="1382"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127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PU</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dokumen yang diberikan terkait sertifikat perencanaan wilayah</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Tampaknya sertifikasi perencanaan tidak ada, atau belum pernah diadakan. Yang pernah diberikan adalah semacam kegiatan Bimtek yang diadakan oleh tingkat pusat dan provinsi</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53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Bappeda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dokumen yang diberikan terkait sertifikat perencanaan wilayah</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tahu tentang sertifikasi terkait perencanaan. Akan tetapi kalau kegiatan Bimtek untuk peningkatan kapasitas SDM unit perencana, sudah beberapa kali diadakan, baik dari pusat maupun tingkat provinsi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53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BKTR</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sertifikat yang ditunjukkan terkait sertifikat perencanaan wilayah</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tahu tentang sertifikasi terkait perencanaan. Akan tetapi kalau kegiatan Bimtek untuk peningkatan kapasitas SDM unit perencana, sudah beberapa kali diadakan, baik dari pusat maupun tingkat provinsi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630"/>
        </w:trPr>
        <w:tc>
          <w:tcPr>
            <w:tcW w:w="3768" w:type="dxa"/>
            <w:gridSpan w:val="3"/>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Kepala SKPD, dan Kepala Bagian Perencanaan</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80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BIb1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Latar belakang Pendidikan formal </w:t>
            </w:r>
          </w:p>
        </w:tc>
        <w:tc>
          <w:tcPr>
            <w:tcW w:w="1635"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Data kepegawaian tidak menjelaskan secara khusus latar pendidikan SDM unit perencana. Data hanya menjelaskan secara general latar pendidikan pegawai, masa kerja, bimtek yang pernah diikuti, dan jabatan struktural</w:t>
            </w:r>
          </w:p>
        </w:tc>
        <w:tc>
          <w:tcPr>
            <w:tcW w:w="1070" w:type="dxa"/>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Rata rata untuk latar pendidikan s1 nya kehutanan, sedangkan s2 lebih ke jurusan manajemen dan sains. Tenaga unit perencanaan untuk pelaksanana status hutan ada dibawah kasie pengukuhan dan penatagunaan kawasan, serta kasie perlindungan kawasan hutan. Kedua kasie ini latar pendidikannya jurusan pertanian dan kehutanan. Secara jumlah kalau dibandingkan dengan luas kawasan ya masih kurang memadai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76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PU</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terkait latar belakang pendidikan SDM unit perencana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informan tidak tahu terkait latar pendidikan SDM perencana karena data itu ada di dinas kehutanan bukan di PU</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76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Bappeda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document yang diberikan terkait latar belakang pendidikan SDM unit perencana</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tahu terkait latar pendidikan SDM perencana karena data itu ada di dinas kehutanan bukan di Bappeda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81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BKTR</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dibeikanterkait latar belakang pendidikan SDM unit perencana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informan tidak tahu terkait latar pendidikan SDM perencana karena data itu ada di dinas kehutanan bukan di BKTR</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78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BIb2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Lama waktu kerja sebagai perencana </w:t>
            </w:r>
          </w:p>
        </w:tc>
        <w:tc>
          <w:tcPr>
            <w:tcW w:w="1635"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Data kepegawaian tidak menjelaskan secara khusus masa kerja SDM unit perencana. Data hanya menjelaskan secara general data seluruh pegawai dishut; latar pendidikan pegawai, masa kerja, bimtek yang pernah diikuti, dan jabatan struktural</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rata rata SDM yang bekerja di unit perencana dinas kehutanan masa kerjanya berkisar 15-25 tahun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102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PU</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data document yang diberika karena data peneliti untuk penetapan status hutan negara non negara ada di dinas kehutanan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tahu karena data peneliti untuk penetapan status hutan negara non negara ada di dinas kehutanan bukan di PU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02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Bappeda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data document yang diberikan karena data peneliti untuk penetapan status hutan negara non negara ada di dinas kehutanan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tahu karena data peneliti untuk penetapan status hutan negara non negara ada di dinas kehutanan bukan di Bappeda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00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BKTR</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data document yang diberikan karena data peneliti untuk penetapan status hutan negara non negara ada di dinas kehutanan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tahu karena data peneliti untuk penetapan status hutan negara non negara ada di dinas kehutanan bukan di BKTR</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04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BIb3</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Sertifikat perencanaan wilayah </w:t>
            </w:r>
          </w:p>
        </w:tc>
        <w:tc>
          <w:tcPr>
            <w:tcW w:w="1635"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Data kepegawaian tidak menjelaskan secara khusus sertifikat perencanaan pada SDM unit perencana. Data hanya menjelaskan secara general latar pendidikan pegawai, masa kerja, bimtek yang pernah diikuti, dan jabatan struktural dari seluruh data kepegawaian Dishut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hampir sebagian besar SDM perencana disini memiliki sertifikat perencanaan baik yang diadakan instansi vertikal (kementerian) maupun lembaga luar lainnya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76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PU</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 yang diberikan terkait Sertifikat SDM Unit perencana yang memiliki sertifikat perencana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informan menjawab tidak tahu karena informasi sertifikat perencanaan kehutanan ada di dinas kehutanan bukan di PU</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76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Bappeda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 yang diberikan terkait Sertifikat SDM Unit perencana yang memiliki sertifikat perencana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menjawab tidak tahu karena informasi sertifikat perencanaan kehutanan ada di dinas kehutanan bukan di Bappeda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005"/>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BKTR</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 yang diberikan terkait Sertifikat SDM Unit perencana yang memiliki sertifikat perencana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informan menjawab tidak tahu karena informasi sertifikat perencanaan kehutanan ada di dinas kehutanan bukan di BKTR</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3768" w:type="dxa"/>
            <w:gridSpan w:val="3"/>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FD3B79" w:rsidRPr="00FD3B79" w:rsidTr="00FD3B79">
        <w:trPr>
          <w:trHeight w:val="69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single" w:sz="4" w:space="0" w:color="auto"/>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Usulan kegiatan dan DIPA pada tahun yang sama tiga tahun kebelakang,</w:t>
            </w:r>
            <w:r w:rsidRPr="00FD3B79">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76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BIc1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635" w:type="dxa"/>
            <w:vMerge w:val="restart"/>
            <w:tcBorders>
              <w:top w:val="nil"/>
              <w:left w:val="single" w:sz="4" w:space="0" w:color="auto"/>
              <w:bottom w:val="single" w:sz="4" w:space="0" w:color="auto"/>
              <w:right w:val="single" w:sz="4" w:space="0" w:color="auto"/>
            </w:tcBorders>
            <w:shd w:val="clear" w:color="000000" w:fill="0000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RKA SKPD Dinas Kehutanan TA 2012 </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alokasi anggaran untuk penyusunan proses perencanana tata ruang partisipatif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anggaran untuk penyusunan tata ruang ada di bappeda dan PU bukan di Dinas kehutanan </w:t>
            </w:r>
          </w:p>
        </w:tc>
        <w:tc>
          <w:tcPr>
            <w:tcW w:w="1382" w:type="dxa"/>
            <w:tcBorders>
              <w:top w:val="nil"/>
              <w:left w:val="nil"/>
              <w:bottom w:val="single" w:sz="4" w:space="0" w:color="auto"/>
              <w:right w:val="single" w:sz="4" w:space="0" w:color="auto"/>
            </w:tcBorders>
            <w:shd w:val="clear" w:color="000000" w:fill="0000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02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Dinas Pertanian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untuk alokasi anggaran penyusunan perencanaan tata </w:t>
            </w:r>
            <w:r w:rsidRPr="00FD3B79">
              <w:rPr>
                <w:rFonts w:ascii="Times New Roman" w:eastAsia="Times New Roman" w:hAnsi="Times New Roman" w:cs="Times New Roman"/>
                <w:color w:val="000000"/>
                <w:sz w:val="20"/>
                <w:szCs w:val="20"/>
                <w:lang w:eastAsia="id-ID"/>
              </w:rPr>
              <w:lastRenderedPageBreak/>
              <w:t>ruang yang partisipatif</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1</w:t>
            </w:r>
          </w:p>
        </w:tc>
        <w:tc>
          <w:tcPr>
            <w:tcW w:w="1765"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anggaran untuk penyusunan tata ruang ada di bappeda dan PU bukan Dinas Pertanian </w:t>
            </w:r>
          </w:p>
        </w:tc>
        <w:tc>
          <w:tcPr>
            <w:tcW w:w="1382" w:type="dxa"/>
            <w:tcBorders>
              <w:top w:val="nil"/>
              <w:left w:val="nil"/>
              <w:bottom w:val="single" w:sz="4" w:space="0" w:color="auto"/>
              <w:right w:val="single" w:sz="4" w:space="0" w:color="auto"/>
            </w:tcBorders>
            <w:shd w:val="clear" w:color="000000" w:fill="0000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02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BPN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document yang diberikanuntuk alokasi anggaran penyusunan perencanaan tata ruang yang partisipatif</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anggaran untuk penyusunan tata ruang ada di bappeda dan PU bukan Dinas Pertanian </w:t>
            </w:r>
          </w:p>
        </w:tc>
        <w:tc>
          <w:tcPr>
            <w:tcW w:w="1382" w:type="dxa"/>
            <w:tcBorders>
              <w:top w:val="nil"/>
              <w:left w:val="nil"/>
              <w:bottom w:val="single" w:sz="4" w:space="0" w:color="auto"/>
              <w:right w:val="single" w:sz="4" w:space="0" w:color="auto"/>
            </w:tcBorders>
            <w:shd w:val="clear" w:color="000000" w:fill="0000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FD3B79" w:rsidRPr="00FD3B79" w:rsidTr="00FD3B79">
        <w:trPr>
          <w:trHeight w:val="67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55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BId1</w:t>
            </w:r>
          </w:p>
        </w:tc>
        <w:tc>
          <w:tcPr>
            <w:tcW w:w="1277"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Pembagian tugas</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Secara umum, prosedur SOP sudah cukup memadai. Untuk SOP pengamanan hutan, Ada transparansi waktu penyelesaian, tahap-tahap langkah yang harus dilakukan, output yang jelas serta kelengkapan harus dipenuhi dalam SOP. Tapi dalam SOP tidak secara eksplisit menegaskan target atau tujuan dari SOP. Sehingga oucome dan impact sulit untuk diukur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4</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Secara khusus tidak ada SOP penyelesaian perencanaan konflik kawasan. Disini ada 3 SOP, yang mencakup SOP pembagian tugas untuk seksi perlindungan, yaitu SOP  perlindungan kawasan/pengamanan hutan, SOP  perlindungan hasil hutan dan SOP hama penyakit (HAPPEN). Nah terkait penyelesaian konflik perencanaan kawasan, maka itu sudah termasuk dalam SOP perlindungan kawasan dan SOP untuk perlindungan hasil hutan.</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4</w:t>
            </w:r>
          </w:p>
        </w:tc>
      </w:tr>
      <w:tr w:rsidR="00FD3B79" w:rsidRPr="00FD3B79" w:rsidTr="00FD3B7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BId2</w:t>
            </w:r>
          </w:p>
        </w:tc>
        <w:tc>
          <w:tcPr>
            <w:tcW w:w="1277"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Struktur Organisasi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Dari dokumen, dari 3 SOP tidak satupun yang ada unsure pelibatan masyarakat dalam struktur SOP.</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Secara umumstruktur organisasi yang terlibat dalam SOP, melibatkan semua pihak terkait, termasuk keterlibatan pihak luar yaitu unsure kepala desa, kepala dinas lain </w:t>
            </w:r>
            <w:r w:rsidRPr="00FD3B79">
              <w:rPr>
                <w:rFonts w:ascii="Times New Roman" w:eastAsia="Times New Roman" w:hAnsi="Times New Roman" w:cs="Times New Roman"/>
                <w:color w:val="000000"/>
                <w:sz w:val="20"/>
                <w:szCs w:val="20"/>
                <w:lang w:eastAsia="id-ID"/>
              </w:rPr>
              <w:lastRenderedPageBreak/>
              <w:t xml:space="preserve">kab/kota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3</w:t>
            </w:r>
          </w:p>
        </w:tc>
      </w:tr>
      <w:tr w:rsidR="00FD3B79" w:rsidRPr="00FD3B79" w:rsidTr="00FD3B79">
        <w:trPr>
          <w:trHeight w:val="280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BId3</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Tahapan pelaksanaan penyelesaian konflik</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Secara umum, prosedur mekanisme dan tahapan dalam SOP lebih bersifat kepada hal yang administrative (surat menyurat, konsep, alur rapat, siapa yang bertanggung jawab). Akan tetapi SOP tidak sampai kepada aspek eksekusi, pelaksanaan tugas lapangan termasuk jika ada kendala siapa yang harus bertanggung jawab, mekanisme pengambilan keputusan di lapangan dll.</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Tahapan pelaksanaan SOP sudah sangat jelas. Ada step stepnya. Siapa melakukan apa. Sudah ada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BId4</w:t>
            </w:r>
          </w:p>
        </w:tc>
        <w:tc>
          <w:tcPr>
            <w:tcW w:w="1277"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Keterlibatan masyarakat</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Dari dokumen ketiga SOP, tidak ada satupun yang menjelaskan adanya pelibatan masyarakat. Semua pihak yang terlibat dalam SOP didominasi oleh SKPD.</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Masyarakat sekitar kawasan dilibatkan untuk menjaga kelestarian, penyelesaian konflik termasuk perencanaan kawasan hutan. Mereka dimintai tanggapan dan masukannya</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BId5</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Mekanisme pengambilan keputusan</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Dari ketiga SOP, untuk SOP happen dan SOP identiifkasi pelanggaran hutan, keputusan akhir ada ditangan kepala dinas. Sedangkan untuk SOP Pengamanan /perlindungan kawasan hutan, pengambilan keputusan selain ada di tangan kepala dinas, juga melibatkan instansli luar (non dinas kehutanan)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Pengambilan keputusan ada ditangan kepala dinas. Akan tetapi proses untuk pembahasan pengambilan keputusan tetap melibatkan pihak pihak lain terkait.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BId6</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Tata waktu penyelesaian konflik</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Dala. 3 SOP, semuanya ada kepastian waktu penyelesaiannya</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Untuk tata waktu penyelesaian, dari ketiga SOP yang ada, semuanya memiliki kejelasan /transparansi waktu penyelesaian. Misalnya harus selesai 5 hari, 7 hari, 2 hari atau satu hari. Khusus untuk waktu disposisi, koordinasi dan lainnya waktu penyelesaian 10 menit</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BId7</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Mekanisme penyampaian informasi proses dan hasil penyelesaian konflik</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dalam SOP tidak ada mekanisme terkait penyampaian informasi proses dan hasil penyelesaian konflik perencanaan kawasan instansi kehutanan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kita masih belum mengatur terkait mekanisme penyampaian informasi dan hasil penyelesaian konflik perencanaan kawasan. Mekanisme yang ada selama ini lebih bersifat koordinatif internal</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043"/>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BIe1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DPRD</w:t>
            </w:r>
          </w:p>
        </w:tc>
        <w:tc>
          <w:tcPr>
            <w:tcW w:w="182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w:t>
            </w:r>
          </w:p>
        </w:tc>
        <w:tc>
          <w:tcPr>
            <w:tcW w:w="107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legislator yang yang memperjuangkan perencanaan wilayah berbasis kelestarian hutan</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53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dokument /tidak tersedia/ tidak dimiliki </w:t>
            </w:r>
          </w:p>
        </w:tc>
        <w:tc>
          <w:tcPr>
            <w:tcW w:w="107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bisa memberikan jawaban secara spesifik terkait berapa jumlah legislator yang memperjuangkan perencanaan wilayah berbasis kelestarian hutan. Akan tetap informan menyatakan ada </w:t>
            </w:r>
            <w:r w:rsidRPr="00FD3B79">
              <w:rPr>
                <w:rFonts w:ascii="Times New Roman" w:eastAsia="Times New Roman" w:hAnsi="Times New Roman" w:cs="Times New Roman"/>
                <w:color w:val="000000"/>
                <w:sz w:val="20"/>
                <w:szCs w:val="20"/>
                <w:lang w:eastAsia="id-ID"/>
              </w:rPr>
              <w:lastRenderedPageBreak/>
              <w:t xml:space="preserve">untuk anggota DPRD periode  sebelumnya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1</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PU</w:t>
            </w:r>
          </w:p>
        </w:tc>
        <w:tc>
          <w:tcPr>
            <w:tcW w:w="182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dokument /tidak tersedia/ tidak dimiliki </w:t>
            </w:r>
          </w:p>
        </w:tc>
        <w:tc>
          <w:tcPr>
            <w:tcW w:w="107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informan tidak tahu dan tidak bisa menjawab untuk jumlah legislator yang selama ini konsen dalam memperjuangkan perencanaan tata ruang wilayah berbasis kelestarian hutan</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LSM</w:t>
            </w:r>
          </w:p>
        </w:tc>
        <w:tc>
          <w:tcPr>
            <w:tcW w:w="182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dokument /tidak tersedia/ tidak dimiliki </w:t>
            </w:r>
          </w:p>
        </w:tc>
        <w:tc>
          <w:tcPr>
            <w:tcW w:w="107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nforman tidak tahu dan tidak bisa menjawab untuk jumlah legislator yang selama ini konsen dalam memperjuangkan perencanaan tata ruang wilayah berbasis kelestarian hutan</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4395"/>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Jurnalis</w:t>
            </w:r>
          </w:p>
        </w:tc>
        <w:tc>
          <w:tcPr>
            <w:tcW w:w="182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dokument /tidak tersedia/ tidak dimiliki </w:t>
            </w:r>
          </w:p>
        </w:tc>
        <w:tc>
          <w:tcPr>
            <w:tcW w:w="1070" w:type="dxa"/>
            <w:tcBorders>
              <w:top w:val="nil"/>
              <w:left w:val="nil"/>
              <w:bottom w:val="single" w:sz="4" w:space="0" w:color="auto"/>
              <w:right w:val="single" w:sz="4" w:space="0" w:color="auto"/>
            </w:tcBorders>
            <w:shd w:val="clear" w:color="000000" w:fill="0000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Dari segi regulasi, DPRD memiliki kelemahan dalam mengajukan usulan legislasi terkait isu perencanaan wilayah berbasis kehutanan. Baru sebatas himbauan himbauan tapi belum ada langkah riel (perda). Baru sebatas ada usulan dari pemprov yang didukung oleh DPRD kepada kemenhut terkait pengawasan lahan gambut, tapi usulan ini masih di pending belum disetujui oleh kemenhut. </w:t>
            </w:r>
            <w:r w:rsidRPr="00FD3B79">
              <w:rPr>
                <w:rFonts w:ascii="Times New Roman" w:eastAsia="Times New Roman" w:hAnsi="Times New Roman" w:cs="Times New Roman"/>
                <w:color w:val="000000"/>
                <w:sz w:val="20"/>
                <w:szCs w:val="20"/>
                <w:lang w:eastAsia="id-ID"/>
              </w:rPr>
              <w:br/>
            </w:r>
            <w:r w:rsidRPr="00FD3B79">
              <w:rPr>
                <w:rFonts w:ascii="Times New Roman" w:eastAsia="Times New Roman" w:hAnsi="Times New Roman" w:cs="Times New Roman"/>
                <w:color w:val="000000"/>
                <w:sz w:val="20"/>
                <w:szCs w:val="20"/>
                <w:lang w:eastAsia="id-ID"/>
              </w:rPr>
              <w:br/>
              <w:t xml:space="preserve">Secara kuantitas, tidak begitu banyak anggota DPRD yang memiliki kapasitas dan konsen dibidang isu lingkungan, paling sekitar 10-15% </w:t>
            </w:r>
            <w:r w:rsidRPr="00FD3B79">
              <w:rPr>
                <w:rFonts w:ascii="Times New Roman" w:eastAsia="Times New Roman" w:hAnsi="Times New Roman" w:cs="Times New Roman"/>
                <w:color w:val="000000"/>
                <w:sz w:val="20"/>
                <w:szCs w:val="20"/>
                <w:lang w:eastAsia="id-ID"/>
              </w:rPr>
              <w:lastRenderedPageBreak/>
              <w:t>dari jumlah anggota DPRD. Hanya sebagian saja, kalau merata tidak (semua fraksi). Sedikit yang paham isu tentang ini</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3</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Isu dalam PGA REDD+</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II. Pengaturan Hak  </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70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FD3B79" w:rsidRPr="00FD3B79" w:rsidTr="00FD3B79">
        <w:trPr>
          <w:trHeight w:val="36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single" w:sz="4" w:space="0" w:color="auto"/>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3</w:t>
            </w:r>
          </w:p>
        </w:tc>
      </w:tr>
      <w:tr w:rsidR="00FD3B79" w:rsidRPr="00FD3B79" w:rsidTr="00FD3B7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BIIa1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Kondisi realisasi rencana kebutuhan SDM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rencana kebutuhan SDM sudah terpenuhi?</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Data kepegawaian tidak menjelaskan secara khusus kebutuhan jumlah SDM pada unit perencana. Data hanya menjelaskan secara general latar pendidikan pegawai, masa kerja, bimtek yang pernah diikuti, dan jabatan struktural</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Dibandingkan luas hutan di sumsel, kebutuhan SDM belum bisa terpenuhi 100%. Tapi kalau dari SDM yang ada, ya sementara masih bisa mengatasi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2</w:t>
            </w:r>
          </w:p>
        </w:tc>
      </w:tr>
      <w:tr w:rsidR="00FD3B79" w:rsidRPr="00FD3B79" w:rsidTr="00FD3B79">
        <w:trPr>
          <w:trHeight w:val="178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BIIa2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Memiliki pendidikan S1 di bidang terkait dengan kehutanan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secara umum rata-rata pegawai Dishut memiliki latar s1 Kehutanan, ada juga yang dari jurusan lain untuk tenaga sekretariat, adminstrasi dan keuangan.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rata-rata mereka berlatar s1 kehutanan untuk unit perencana dan unit administrasi terkait masalah kehutanan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BIIa3</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Data kepegawaian tidak menjelaskan secara khusus pengalaman kerja SDM unit tenaga pengadministrasian. Data hanya menjelaskan secara general latar pendidikan pegawai, masa kerja, bimtek yang pernah diikuti, dan jabatan struktural</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masa kerja rata rata 15-20 tahun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BIIa4</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Data kepegawaian tidak menjelaskan secara khusus pelatihan yang pernah diikuti pada SDM unit pengadministrasian. Data hanya menjelaskan secara general latar pendidikan pegawai, masa kerja, bimtek yang pernah diikuti, dan jabatan struktural</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sebagian besar sudah pernah mengikuti pelatihan baik yang diadakan oleh instansi vertikal (kementeria kehutanan) maupun lembaga luar (non pemerintahan)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73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FD3B79" w:rsidRPr="00FD3B79" w:rsidTr="00FD3B79">
        <w:trPr>
          <w:trHeight w:val="61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669"/>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BIIb1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Dalam RKA Dinas Kehutanan TA 2012 tidak ada pagu secara spesifik untuk komponen pengadministrasian hak masyarakat dan bisnis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menjawab tidak tahu </w:t>
            </w:r>
          </w:p>
        </w:tc>
        <w:tc>
          <w:tcPr>
            <w:tcW w:w="1382" w:type="dxa"/>
            <w:tcBorders>
              <w:top w:val="nil"/>
              <w:left w:val="nil"/>
              <w:bottom w:val="single" w:sz="4" w:space="0" w:color="auto"/>
              <w:right w:val="single" w:sz="4" w:space="0" w:color="auto"/>
            </w:tcBorders>
            <w:shd w:val="clear" w:color="000000" w:fill="FFFF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863"/>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dokumen yang diberikan, tidak diberikan karena persoalan izin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menjawab tidak tahu </w:t>
            </w:r>
          </w:p>
        </w:tc>
        <w:tc>
          <w:tcPr>
            <w:tcW w:w="1382" w:type="dxa"/>
            <w:tcBorders>
              <w:top w:val="nil"/>
              <w:left w:val="nil"/>
              <w:bottom w:val="single" w:sz="4" w:space="0" w:color="auto"/>
              <w:right w:val="single" w:sz="4" w:space="0" w:color="auto"/>
            </w:tcBorders>
            <w:shd w:val="clear" w:color="000000" w:fill="FFFF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765"/>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dokumen yang diberikan, tidak diberikan karena data belum tersedia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menjawab tidak tahu untuk jumlah pastinya </w:t>
            </w:r>
          </w:p>
        </w:tc>
        <w:tc>
          <w:tcPr>
            <w:tcW w:w="1382" w:type="dxa"/>
            <w:tcBorders>
              <w:top w:val="nil"/>
              <w:left w:val="nil"/>
              <w:bottom w:val="single" w:sz="4" w:space="0" w:color="auto"/>
              <w:right w:val="single" w:sz="4" w:space="0" w:color="auto"/>
            </w:tcBorders>
            <w:shd w:val="clear" w:color="000000" w:fill="FFFF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64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lastRenderedPageBreak/>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FD3B79" w:rsidRPr="00FD3B79" w:rsidTr="00FD3B79">
        <w:trPr>
          <w:trHeight w:val="45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single" w:sz="4" w:space="0" w:color="auto"/>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5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BIIc1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Komponen Mekanisme-1: Pembagian tugas &amp; tanggung jawab setiap pihak</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 karena memang tidak ada mekanisme yang mengatur kerjasama dengan masyarakat adat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Belum ada mekanisme kerjasama dengan masyarakat adat karena kel masyarakat adat disini belum ada . alasannya karena tidak ada masyarakat adat di sumsel sejak berakhirnya kesultanan sumsel tahun 70-an.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61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pihak BKSDA menjanjikan akan mengirim dokumen by email, tapi sampai sekarang belum dikirimkan. Ada resistensi dari bagian TU BKSDA untuk mengirikan data yang dibutuhkan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Ada mekanisme kerjasama berupa TPHL (Tenaga Pengaman Hutan Lingkungan), dengan model insentif bulanan. Dalam bentuk patrol Juga ada pelibatan monitoring. </w:t>
            </w:r>
            <w:r w:rsidRPr="00FD3B79">
              <w:rPr>
                <w:rFonts w:ascii="Times New Roman" w:eastAsia="Times New Roman" w:hAnsi="Times New Roman" w:cs="Times New Roman"/>
                <w:color w:val="000000"/>
                <w:sz w:val="20"/>
                <w:szCs w:val="20"/>
                <w:lang w:eastAsia="id-ID"/>
              </w:rPr>
              <w:br/>
              <w:t xml:space="preserve">Dengan NGO, ada kerjasama, seperti ZSL (Zoological Society London) terkait pelestarian harimau. Ketiganya (ZSL, TPHL dan BKSDA) ada sinergi dan kerjasama. </w:t>
            </w:r>
            <w:r w:rsidRPr="00FD3B79">
              <w:rPr>
                <w:rFonts w:ascii="Times New Roman" w:eastAsia="Times New Roman" w:hAnsi="Times New Roman" w:cs="Times New Roman"/>
                <w:color w:val="000000"/>
                <w:sz w:val="20"/>
                <w:szCs w:val="20"/>
                <w:lang w:eastAsia="id-ID"/>
              </w:rPr>
              <w:br/>
              <w:t>Dengan PT (perusahaan), ada kerjasama / konsep untuk pelestarian kawasan dengan model Kolaborasi, seperti patrol bersama, penjagaan bersama. Jadi sama-sama menguntungkan pihak. Seperti dengan Conoco Philips. Terkait pembiayaan inkind dari mereka</w:t>
            </w:r>
            <w:r w:rsidRPr="00FD3B79">
              <w:rPr>
                <w:rFonts w:ascii="Times New Roman" w:eastAsia="Times New Roman" w:hAnsi="Times New Roman" w:cs="Times New Roman"/>
                <w:color w:val="000000"/>
                <w:sz w:val="20"/>
                <w:szCs w:val="20"/>
                <w:lang w:eastAsia="id-ID"/>
              </w:rPr>
              <w:br/>
              <w:t xml:space="preserve">Untuk pemda (kepolisian, </w:t>
            </w:r>
            <w:r w:rsidRPr="00FD3B79">
              <w:rPr>
                <w:rFonts w:ascii="Times New Roman" w:eastAsia="Times New Roman" w:hAnsi="Times New Roman" w:cs="Times New Roman"/>
                <w:color w:val="000000"/>
                <w:sz w:val="20"/>
                <w:szCs w:val="20"/>
                <w:lang w:eastAsia="id-ID"/>
              </w:rPr>
              <w:lastRenderedPageBreak/>
              <w:t xml:space="preserve">dishut), ada koordinasi misalnya terkait konflik satwa. Tapi itu semua masih  blom dalam konteks pengadministrasian karena memang itu bukan tupoksi BKSDA. </w:t>
            </w:r>
            <w:r w:rsidRPr="00FD3B79">
              <w:rPr>
                <w:rFonts w:ascii="Times New Roman" w:eastAsia="Times New Roman" w:hAnsi="Times New Roman" w:cs="Times New Roman"/>
                <w:color w:val="000000"/>
                <w:sz w:val="20"/>
                <w:szCs w:val="20"/>
                <w:lang w:eastAsia="id-ID"/>
              </w:rPr>
              <w:br/>
              <w:t xml:space="preserve">Yan g membedakan TPHL dan  Pamswakarsa, terkait patrol bersama atau ada event tertentu. </w:t>
            </w:r>
            <w:r w:rsidRPr="00FD3B79">
              <w:rPr>
                <w:rFonts w:ascii="Times New Roman" w:eastAsia="Times New Roman" w:hAnsi="Times New Roman" w:cs="Times New Roman"/>
                <w:color w:val="000000"/>
                <w:sz w:val="20"/>
                <w:szCs w:val="20"/>
                <w:lang w:eastAsia="id-ID"/>
              </w:rPr>
              <w:br/>
              <w:t>Sekarang ini posisinya masih dalam bentuk forum (PT, NGO, BKSDA, Masyarakat)</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2</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informan menyatakan tidak tahu terkait mekanisme kerjasama antar unit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menyatakan tidak ada tentang mekanisme kerjasama dengan masyarakat adat dan pertanyaan berikutnya menjadi tidak relevan untuk ditanyakan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02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BIIc2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Komponen Mekanisme-2: Tahapan pelaksanaan kerjasama</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dokument tidak ada karena pertanyaan tidak relevan ditanyakan karena sejak awal informan meyatakan tidak ada mekanise kerjasama antar unti</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Pertanyaan tidak relevan ditanyakan karena sejak awal informan meyatakan tidak ada mekanise kerjasama antar unit</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pihak BKSDA menjanjikan akan mengirim dokumen by email, tapi sampai sekarang belum dikirimkan. Ada resistensi dari bagian TU BKSDA untuk mengirikan data yang dibutuhkan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Baru inisiasi untuk membangun komitmen bersama dalam melestarikan kawasan. Dengan model kolaborasi, misalnya dengan perusahaan. </w:t>
            </w:r>
            <w:r w:rsidRPr="00FD3B79">
              <w:rPr>
                <w:rFonts w:ascii="Times New Roman" w:eastAsia="Times New Roman" w:hAnsi="Times New Roman" w:cs="Times New Roman"/>
                <w:color w:val="000000"/>
                <w:sz w:val="20"/>
                <w:szCs w:val="20"/>
                <w:lang w:eastAsia="id-ID"/>
              </w:rPr>
              <w:br/>
            </w:r>
            <w:r w:rsidRPr="00FD3B79">
              <w:rPr>
                <w:rFonts w:ascii="Times New Roman" w:eastAsia="Times New Roman" w:hAnsi="Times New Roman" w:cs="Times New Roman"/>
                <w:color w:val="000000"/>
                <w:sz w:val="20"/>
                <w:szCs w:val="20"/>
                <w:lang w:eastAsia="id-ID"/>
              </w:rPr>
              <w:br/>
              <w:t xml:space="preserve">Kalau dengan Pemda setempat, ada koordinasi khusus  misalnya menyangkut </w:t>
            </w:r>
            <w:r w:rsidRPr="00FD3B79">
              <w:rPr>
                <w:rFonts w:ascii="Times New Roman" w:eastAsia="Times New Roman" w:hAnsi="Times New Roman" w:cs="Times New Roman"/>
                <w:color w:val="000000"/>
                <w:sz w:val="20"/>
                <w:szCs w:val="20"/>
                <w:lang w:eastAsia="id-ID"/>
              </w:rPr>
              <w:lastRenderedPageBreak/>
              <w:t xml:space="preserve">konflik satwa, biasanya melibatkan dishut local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3</w:t>
            </w:r>
          </w:p>
        </w:tc>
      </w:tr>
      <w:tr w:rsidR="00FD3B79" w:rsidRPr="00FD3B79" w:rsidTr="00FD3B79">
        <w:trPr>
          <w:trHeight w:val="153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.TN menyatakan tidak tahu terkait mekanisme kerjasama antar unit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FF0000"/>
                <w:sz w:val="20"/>
                <w:szCs w:val="20"/>
                <w:lang w:eastAsia="id-ID"/>
              </w:rPr>
            </w:pPr>
            <w:r w:rsidRPr="00FD3B79">
              <w:rPr>
                <w:rFonts w:ascii="Times New Roman" w:eastAsia="Times New Roman" w:hAnsi="Times New Roman" w:cs="Times New Roman"/>
                <w:sz w:val="20"/>
                <w:szCs w:val="20"/>
                <w:lang w:eastAsia="id-ID"/>
              </w:rPr>
              <w:t>tidak ada mekanisme kerjasama antar unit</w:t>
            </w:r>
            <w:r w:rsidRPr="00FD3B79">
              <w:rPr>
                <w:rFonts w:ascii="Times New Roman" w:eastAsia="Times New Roman" w:hAnsi="Times New Roman" w:cs="Times New Roman"/>
                <w:color w:val="FF0000"/>
                <w:sz w:val="20"/>
                <w:szCs w:val="20"/>
                <w:lang w:eastAsia="id-ID"/>
              </w:rPr>
              <w:t xml:space="preserve">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425"/>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BIIc3</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Komponen Mekanisme-3: Mekanisme pengambilan keputusan</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Mekanisme pengambilan keputus-an dalam kerjasama antara unit?</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dokument tidak ada. informan meyatakan tidak ada mekanise kerjasama antar unit</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mekanisme pengambilan keputusan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785"/>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document yang diberikan, pihak BKSDA menjanjikan akan mengirim dokumen by email, tapi sampai sekarang belum dikirimkan. Ada resistensi dari bagian TU BKSDA untuk mengirikan data yang dibutuhkan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BKSDA posisinya sebagai leading sector karena yang punya kawasan.  Untuk foru TPHL, NGO, BKSDA masih belum ada model yang jelas, masih sebatas inisiasi forum, 2011. Baru sebatas komitmen belum ada tindak lanjut yang nyata.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765"/>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TN menyatakan tidak tahu terkait mekanisme kerjasama antar unit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mekanisme pengambilan keputusan. karena sejak awal informan meyatakan tidak ada mekanise kerjasama antar unit</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5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BIIc4</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Komponen Mekanisme-4: </w:t>
            </w:r>
            <w:r w:rsidRPr="00FD3B79">
              <w:rPr>
                <w:rFonts w:ascii="Times New Roman" w:eastAsia="Times New Roman" w:hAnsi="Times New Roman" w:cs="Times New Roman"/>
                <w:color w:val="000000"/>
                <w:sz w:val="20"/>
                <w:szCs w:val="20"/>
                <w:lang w:eastAsia="id-ID"/>
              </w:rPr>
              <w:br/>
              <w:t>Tata waktu pelaksanaan kerjasama</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Tata waktu pelaksanaan kerjasama dalam mekanisme kerjasama antara unit?</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dokument tidak ada. informan meyatakan tidak ada mekanise kerjasama antar unit</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Pertanyaan tidak relevan ditanyakan karena sejak awal informan meyatakan tidak ada mekanise kerjasama antar unit</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documentnya karena memang masih belu ada model baku terkait tata waktu pelaksanaan </w:t>
            </w:r>
            <w:r w:rsidRPr="00FD3B79">
              <w:rPr>
                <w:rFonts w:ascii="Times New Roman" w:eastAsia="Times New Roman" w:hAnsi="Times New Roman" w:cs="Times New Roman"/>
                <w:color w:val="000000"/>
                <w:sz w:val="20"/>
                <w:szCs w:val="20"/>
                <w:lang w:eastAsia="id-ID"/>
              </w:rPr>
              <w:lastRenderedPageBreak/>
              <w:t>kerjasama karena masih inisiasi awal</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Masih belum ada model yang baku terkait tata waktu pelaksanaan kerjasama, karena masih inisiasi awa</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765"/>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TN menyatakan tidak tahu terkait mekanisme kerjasama antar unit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tata waktu pelaksanaan kerjasama, karena sejak awal informan meyatakan tidak ada mekanise kerjasama antar unit</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2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BIIc5</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Komponen Mekanisme-5: Mekanisme pelaporan hasil pelaksanaan kerjasama</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Mekanisme pelaporan hasil pelak-sanaan kerjasama dalam kerjasa-ma antara unit?</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dokument tidak ada. informan meyatakan tidak ada mekanise kerjasama antar unit</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mekanisme pelaporan bailk terkait kerjasama antara unit, karena sejak awal informan meyatakan tidak ada mekanise kerjasama antar unit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785"/>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document yang diberikan, pihak BKSDA menjanjikan akan mengirim dokumen by email, tapi sampai sekarang belum dikirimkan. Ada resistensi dari bagian TU BKSDA untuk mengirikan data yang dibutuhkan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Untuk yang sudah ada laporan baru TPHL, NGO dan BKSDA. Untuk NGO, Bentuknya ada laporan triwulan dan tahunan. Untuk TPHL memang belum ada secara resmi membuat laporan dan lain lain. Sedangkan dengan perusahaan (selain Conoco Philip), laporannya sudah ada dan bersifat rutin.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4</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TN menyatakan tidak tahu terkait mekanisme kerjasama antar unit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mekanisme pelaporan bailk terkait kerjasama antara unit, karena sejak awal informan meyatakan tidak ada mekanise kerjasama antar unit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39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FD3B79" w:rsidRPr="00FD3B79" w:rsidTr="00FD3B79">
        <w:trPr>
          <w:trHeight w:val="33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single" w:sz="4" w:space="0" w:color="auto"/>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80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BIId1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Kondisi realisasi rencana kebutuhan SDM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rencana kebutuhan SDM sudah terpenuhi?</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dalam dokumen data kepegawaian dishut, tidak disebutkan secara spesifik berapa jumlah SDM yang terlibat pada urusan penanganan konflik . Data kepegawaian hanya bersifat general (jumlah keseluruhan, latar pendidikan, masa kerja, dan jabatan struktural/staf).Masih diperlukan banyak SDM untuk menangani persoalan konflik lahan mengingat luasnya lahan di sumsel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2</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bisa dipenuhi 100% akan tetapi secara umum kebutuhan SDM kita untuk sementara masih bisa mengcover semua tugas2nya dengan kondisi seminimal mungkin. Kedepannya kebutuhan SDM makin banyak karena luas lahan di sumsel sangat besar</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55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BIId2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Memiliki pendidikan S1 di bidang terkait dengan kehutanan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dalam dokumen data kepegawaian dishut, tidak disebutkan secara khusus  latar pendidikan jumlah SDM yang terlibat pada urusan penanganan konflik . Data kepegawaian hanya bersifat general (jumlah keseluruhan, latar pendidikan, masa kerja, dan jabatan struktural/staf). akan tetapi secara umum rata2 SDM dinas kehutanan memiliki latar s1 kehutanan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2</w:t>
            </w: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SDM di bagian penanganan konflik lahan, hamper semuanya berlatar kehutanan dan s1. Secara kuantitas masih kurang tapi secara kualitas sudah cukup memadai</w:t>
            </w:r>
          </w:p>
        </w:tc>
        <w:tc>
          <w:tcPr>
            <w:tcW w:w="1382"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382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BIId3</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Memilki sertifikat sebagai mediator dalam penanganan</w:t>
            </w:r>
            <w:r w:rsidRPr="00FD3B79">
              <w:rPr>
                <w:rFonts w:ascii="Times New Roman" w:eastAsia="Times New Roman" w:hAnsi="Times New Roman" w:cs="Times New Roman"/>
                <w:color w:val="000000"/>
                <w:sz w:val="20"/>
                <w:szCs w:val="20"/>
                <w:lang w:eastAsia="id-ID"/>
              </w:rPr>
              <w:br/>
              <w:t>konflik hak atas hutan</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dalam dokumen data kepegawaian dishut, tidak disebutkan secara spesifik berapa jumlah SDM yang terlibat pada urusan penanganan konflik memiliki sertifikat sebagai mediataor dalam penanganan konflik hak atas hutan. Data kepegawaian hanya bersifat general (jumlah keseluruhan, latar pendidikan, masa kerja, dan jabatan struktural/staf). </w:t>
            </w:r>
            <w:r w:rsidRPr="00FD3B79">
              <w:rPr>
                <w:rFonts w:ascii="Times New Roman" w:eastAsia="Times New Roman" w:hAnsi="Times New Roman" w:cs="Times New Roman"/>
                <w:color w:val="000000"/>
                <w:sz w:val="20"/>
                <w:szCs w:val="20"/>
                <w:lang w:eastAsia="id-ID"/>
              </w:rPr>
              <w:lastRenderedPageBreak/>
              <w:t xml:space="preserve">akan tetap secara umum hampir semua SDM di Dinas kehutanan memiliki/pernah mengikuti kegiatan bimtek/pelatihan yang diadakan oleh instansi vertikal maupun lembaga luar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2</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Sertifikat yang specifik menunjukan sebagai mediator belum ada, tapi sertifikat pelatihan-pelatihan lain yang bersifat umum cukup memadai</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2</w:t>
            </w:r>
          </w:p>
        </w:tc>
      </w:tr>
      <w:tr w:rsidR="00FD3B79" w:rsidRPr="00FD3B79" w:rsidTr="00FD3B79">
        <w:trPr>
          <w:trHeight w:val="255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BIId4</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dalam dokumen data kepegawaian dishut, tidak disebutkan secara spesifik berapa jumlah SDM berpengalaman yang terlibat pada urusan penanganan konflik . Data kepegawaian hanya bersifat general (jumlah keseluruhan, latar pendidikan, masa kerja, dan jabatan struktural/staf). akan tetapi masa kerja SDM dinas kehutanan rata-rata lebih dari 15 tahun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2</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rata-rata lama waktu kerja SDM cukup lama, tetapi yang spesifik menjadi mediator konflik hutan sedikit sekali</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2</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30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63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845"/>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BIIe1</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635"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document atau data yang diberikan terkait alokasi dana dalam DIPA untuk penyelesaian konflik instansi kehutanan. Dalam RKA Dinas Kehutanan tidak spesifik menyebutkan jumlah alokasi dana dalam DIPA untuk penyelesaian konflik</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Fieldnote; untuk pertanyaan soal alokasi dana dalam DIPA terkati penyelesaian konflik, informan tidak bisa memberikan jawaban karena tidak memiliki data dan informasi itu ada di bagian keuangan. Data tidak bisa diperoleh dengan alas an menjadi </w:t>
            </w:r>
            <w:r w:rsidRPr="00FD3B79">
              <w:rPr>
                <w:rFonts w:ascii="Times New Roman" w:eastAsia="Times New Roman" w:hAnsi="Times New Roman" w:cs="Times New Roman"/>
                <w:color w:val="000000"/>
                <w:sz w:val="20"/>
                <w:szCs w:val="20"/>
                <w:lang w:eastAsia="id-ID"/>
              </w:rPr>
              <w:lastRenderedPageBreak/>
              <w:t xml:space="preserve">informasi internal dinas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1</w:t>
            </w:r>
          </w:p>
        </w:tc>
      </w:tr>
      <w:tr w:rsidR="00FD3B79" w:rsidRPr="00FD3B79" w:rsidTr="00FD3B79">
        <w:trPr>
          <w:trHeight w:val="255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atau data yang diberikan terkait alokasi dana dalam DIPA untuk penyelesaian konflik instansi kehutanan. Informan meminta menghubungi ke bagian umum/TU. Pihak Bagian umum/TU menjanjikan akan mengirimkan data by email. Dan hingga saat ini data belum dikirimkan. ada resistensi dari pihak instansi soal permintaan data alokasi dana DIPA ini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Fieldnote; untuk pertanyaan soal alokasi dana dalam DIPA terkati penyelesaian konflik, informan tidak bisa memberikan jawaban karena tidak memiliki data dan informasi itu ada di bagian keuangan/umum. Ada resistensi dari internal BKSDA terkait permintaan data soal alokasi dana dalam DIPA untuk penyelesaian konflik</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04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atau data yang diberikan terkait alokasi dana dalam DIPA untuk penyelesaian konflik instansi kehutanan. Informan adalah bagian TU/Umum, dan pimpinan tidak ada ditempat. Jadi tidak berani untuk memberikan data tanpa seizin pimipinan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 xml:space="preserve">Alokasi dana DIPA yang diusulkan oleh TN sekitar 1 M, tapi yang disetujui sekitar 500 juta.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Isu dalam PGA REDD+</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III. Pengorganisasian Hutan </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70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FD3B79" w:rsidRPr="00FD3B79" w:rsidTr="00FD3B79">
        <w:trPr>
          <w:trHeight w:val="36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single" w:sz="4" w:space="0" w:color="auto"/>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 Kepala TN, BKSDA, KPH Provinsi/Kabupaten </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8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BIIIa1</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KPH</w:t>
            </w:r>
          </w:p>
        </w:tc>
        <w:tc>
          <w:tcPr>
            <w:tcW w:w="6037" w:type="dxa"/>
            <w:gridSpan w:val="4"/>
            <w:tcBorders>
              <w:top w:val="single" w:sz="4" w:space="0" w:color="auto"/>
              <w:left w:val="nil"/>
              <w:bottom w:val="single" w:sz="4" w:space="0" w:color="auto"/>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Tidak ada KPH di Sumsel</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karena  KPH belum terbentuk </w:t>
            </w:r>
          </w:p>
        </w:tc>
        <w:tc>
          <w:tcPr>
            <w:tcW w:w="1070" w:type="dxa"/>
            <w:tcBorders>
              <w:top w:val="nil"/>
              <w:left w:val="nil"/>
              <w:bottom w:val="single" w:sz="4" w:space="0" w:color="auto"/>
              <w:right w:val="single" w:sz="4" w:space="0" w:color="auto"/>
            </w:tcBorders>
            <w:shd w:val="clear" w:color="000000" w:fill="FFFFFF"/>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relevan untuk ditjawab oleh BKSDA.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1703"/>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 yang diberikan terkait jumlah SDM yang memiliki kualifikasi teknis dan fasilitasi proses para pihak di unit pengelolaan hutan dan lahan gambut (KPH). </w:t>
            </w:r>
          </w:p>
        </w:tc>
        <w:tc>
          <w:tcPr>
            <w:tcW w:w="1070" w:type="dxa"/>
            <w:tcBorders>
              <w:top w:val="nil"/>
              <w:left w:val="nil"/>
              <w:bottom w:val="single" w:sz="4" w:space="0" w:color="auto"/>
              <w:right w:val="single" w:sz="4" w:space="0" w:color="auto"/>
            </w:tcBorders>
            <w:shd w:val="clear" w:color="000000" w:fill="FFFFFF"/>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relevan untuk ditjawab oleh TN, karena TN.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18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BIIIa2</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Memiliki pendidikan S1 di bidang kehutanan atau terkait</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KPH</w:t>
            </w:r>
          </w:p>
        </w:tc>
        <w:tc>
          <w:tcPr>
            <w:tcW w:w="6037" w:type="dxa"/>
            <w:gridSpan w:val="4"/>
            <w:tcBorders>
              <w:top w:val="single" w:sz="4" w:space="0" w:color="auto"/>
              <w:left w:val="nil"/>
              <w:bottom w:val="single" w:sz="4" w:space="0" w:color="auto"/>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Tidak ada KPH di Sumsel</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karena  KPH belum terbentuk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 xml:space="preserve">Informan tidak bisa menjawab, karena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 </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 xml:space="preserve">Informan tidak bisa menjawab, karena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 </w:t>
            </w:r>
          </w:p>
        </w:tc>
      </w:tr>
      <w:tr w:rsidR="00FD3B79" w:rsidRPr="00FD3B79" w:rsidTr="00FD3B79">
        <w:trPr>
          <w:trHeight w:val="18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BIIIa3</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Pernah mendapatkan pelatihan menjadi fasilitator </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KPH</w:t>
            </w:r>
          </w:p>
        </w:tc>
        <w:tc>
          <w:tcPr>
            <w:tcW w:w="6037" w:type="dxa"/>
            <w:gridSpan w:val="4"/>
            <w:tcBorders>
              <w:top w:val="single" w:sz="4" w:space="0" w:color="auto"/>
              <w:left w:val="nil"/>
              <w:bottom w:val="single" w:sz="4" w:space="0" w:color="auto"/>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Tidak ada KPH di Sumsel</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karena  KPH belum terbentuk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bisa menjawab, karena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karena  KPH belum terbentuk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bisa menjawab, karena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2100"/>
        </w:trPr>
        <w:tc>
          <w:tcPr>
            <w:tcW w:w="856" w:type="dxa"/>
            <w:vMerge w:val="restart"/>
            <w:tcBorders>
              <w:top w:val="nil"/>
              <w:left w:val="single" w:sz="4" w:space="0" w:color="auto"/>
              <w:bottom w:val="single" w:sz="4" w:space="0" w:color="000000"/>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BIIIa4</w:t>
            </w:r>
          </w:p>
        </w:tc>
        <w:tc>
          <w:tcPr>
            <w:tcW w:w="1277"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635" w:type="dxa"/>
            <w:vMerge w:val="restart"/>
            <w:tcBorders>
              <w:top w:val="nil"/>
              <w:left w:val="single" w:sz="4" w:space="0" w:color="auto"/>
              <w:bottom w:val="single" w:sz="4" w:space="0" w:color="000000"/>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KPH</w:t>
            </w:r>
          </w:p>
        </w:tc>
        <w:tc>
          <w:tcPr>
            <w:tcW w:w="6037" w:type="dxa"/>
            <w:gridSpan w:val="4"/>
            <w:tcBorders>
              <w:top w:val="single" w:sz="4" w:space="0" w:color="auto"/>
              <w:left w:val="nil"/>
              <w:bottom w:val="single" w:sz="4" w:space="0" w:color="auto"/>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KPH di Sumsel</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karena  KPH belum terbentuk </w:t>
            </w:r>
          </w:p>
        </w:tc>
        <w:tc>
          <w:tcPr>
            <w:tcW w:w="1070"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bisa menjawab, karena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1020"/>
        </w:trPr>
        <w:tc>
          <w:tcPr>
            <w:tcW w:w="856"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000000"/>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karena  KPH belum terbentuk </w:t>
            </w:r>
          </w:p>
        </w:tc>
        <w:tc>
          <w:tcPr>
            <w:tcW w:w="1070"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bisa menjawab, karena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70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FD3B79" w:rsidRPr="00FD3B79" w:rsidTr="00FD3B79">
        <w:trPr>
          <w:trHeight w:val="36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Wawancara - Sumber </w:t>
            </w:r>
            <w:r w:rsidRPr="00FD3B79">
              <w:rPr>
                <w:rFonts w:ascii="Times New Roman" w:eastAsia="Times New Roman" w:hAnsi="Times New Roman" w:cs="Times New Roman"/>
                <w:b/>
                <w:bCs/>
                <w:color w:val="000000"/>
                <w:sz w:val="20"/>
                <w:szCs w:val="20"/>
                <w:lang w:eastAsia="id-ID"/>
              </w:rPr>
              <w:lastRenderedPageBreak/>
              <w:t>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single" w:sz="4" w:space="0" w:color="auto"/>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 Kepala TN, BKSDA, KPH Provinsi/Kabupaten</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lastRenderedPageBreak/>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40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BIIIb1</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635"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KPH</w:t>
            </w:r>
          </w:p>
        </w:tc>
        <w:tc>
          <w:tcPr>
            <w:tcW w:w="6037" w:type="dxa"/>
            <w:gridSpan w:val="4"/>
            <w:tcBorders>
              <w:top w:val="single" w:sz="4" w:space="0" w:color="auto"/>
              <w:left w:val="nil"/>
              <w:bottom w:val="single" w:sz="4" w:space="0" w:color="auto"/>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Tidak ada KPH di Sumsel</w:t>
            </w:r>
          </w:p>
        </w:tc>
      </w:tr>
      <w:tr w:rsidR="00FD3B79" w:rsidRPr="00FD3B79" w:rsidTr="00FD3B79">
        <w:trPr>
          <w:trHeight w:val="102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BKSDA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karena  KPH belum terbentuk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bisa menjawab, karena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102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karena  KPH belum terbentuk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1</w:t>
            </w:r>
          </w:p>
        </w:tc>
        <w:tc>
          <w:tcPr>
            <w:tcW w:w="1765" w:type="dxa"/>
            <w:tcBorders>
              <w:top w:val="nil"/>
              <w:left w:val="nil"/>
              <w:bottom w:val="single" w:sz="4" w:space="0" w:color="auto"/>
              <w:right w:val="single" w:sz="4" w:space="0" w:color="auto"/>
            </w:tcBorders>
            <w:shd w:val="clear" w:color="000000" w:fill="FFFF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Informan tidak bisa menjawab, karena di Sumsel sendiri belum ada KPH, baru sebatas wacana dan rendana, yang baru ada KPH di Lalan dan KPH di Lakitan. </w:t>
            </w:r>
          </w:p>
        </w:tc>
        <w:tc>
          <w:tcPr>
            <w:tcW w:w="1382" w:type="dxa"/>
            <w:tcBorders>
              <w:top w:val="nil"/>
              <w:left w:val="nil"/>
              <w:bottom w:val="single" w:sz="4" w:space="0" w:color="auto"/>
              <w:right w:val="single" w:sz="4" w:space="0" w:color="auto"/>
            </w:tcBorders>
            <w:shd w:val="clear" w:color="000000" w:fill="FFFF00"/>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3768" w:type="dxa"/>
            <w:gridSpan w:val="3"/>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Isu dalam PGA REDD+</w:t>
            </w: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31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3970" w:type="dxa"/>
            <w:gridSpan w:val="3"/>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a. Jumlah luas kawasan hutan yang dialokasikan untuk masyarakat(?)</w:t>
            </w: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29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BIVa1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Jumlah luas kawasan hutan yang dialokasikan untuk masyarakat</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Berapa jumlah luas kawasan hutan yang dialokasikan untuk masyara-kat?</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Di sumsel, ada 5 kab (OKI, OKU Selatan Oku Timur, OKU dan Musi Rawas), dimana ada kawasan HTR yang dikelola oleh masyarakat melalu kelembagaan koperasi karyawan karyawan atau koperasi KTH (Kelompok tani Hutan) totalnya ada 42.605 ha luas lahan yang dikelola oleh 6 koperasi/KTH</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Disini secara khusus tidak ada kawasan hutan adat atau hutan yang dikelola masyarakat adat. Karena dalam sejarahnya, adat di sumse sudah tutup sejak tahun 1974 . persoalan terkait masyarakat adat, ada ditangan kepala desa atau lurah.  Akan tetap kalau dikelola oleh usaha masyarakat, maka itu ada  dan </w:t>
            </w:r>
            <w:r w:rsidRPr="00FD3B79">
              <w:rPr>
                <w:rFonts w:ascii="Times New Roman" w:eastAsia="Times New Roman" w:hAnsi="Times New Roman" w:cs="Times New Roman"/>
                <w:color w:val="000000"/>
                <w:sz w:val="20"/>
                <w:szCs w:val="20"/>
                <w:lang w:eastAsia="id-ID"/>
              </w:rPr>
              <w:lastRenderedPageBreak/>
              <w:t>dikelola dalam bentuk koperasi karyawan atau KTH (kelompok tani hutan</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34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275"/>
        </w:trPr>
        <w:tc>
          <w:tcPr>
            <w:tcW w:w="856" w:type="dxa"/>
            <w:tcBorders>
              <w:top w:val="nil"/>
              <w:left w:val="single" w:sz="4" w:space="0" w:color="auto"/>
              <w:bottom w:val="single" w:sz="4" w:space="0" w:color="auto"/>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BIVb1</w:t>
            </w:r>
          </w:p>
        </w:tc>
        <w:tc>
          <w:tcPr>
            <w:tcW w:w="1277" w:type="dxa"/>
            <w:tcBorders>
              <w:top w:val="nil"/>
              <w:left w:val="single" w:sz="4" w:space="0" w:color="auto"/>
              <w:bottom w:val="single" w:sz="4" w:space="0" w:color="auto"/>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635" w:type="dxa"/>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 yang diberikan, karena KPHP/KPHL belum dibentuk ditingkat provinsi, baru sebatas kajian akademik. KPH model ada di KPH Lalan dan KPH Lakitan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informan menyatakan tidak ada KPH ditingkat provinsi, yang ada Cuma KPH model di KPH Lalan dan KPH Lakitan</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36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FD3B79" w:rsidRPr="00FD3B79" w:rsidTr="00FD3B79">
        <w:trPr>
          <w:trHeight w:val="63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BIVc1</w:t>
            </w:r>
          </w:p>
        </w:tc>
        <w:tc>
          <w:tcPr>
            <w:tcW w:w="1277"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saja dasar pertimbangan yang digunakan dalam pemberian izin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Kehutanan</w:t>
            </w:r>
          </w:p>
        </w:tc>
        <w:tc>
          <w:tcPr>
            <w:tcW w:w="182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data/dokumen terkait mekanisme perizinan dengan alasan semuanya ada di pusat. Untuk tingkat daerah (&lt; 1 hektar) juga tidak ada penjelasan dokumennya termasuk ada berapa banyak yang mengurus perizinan non ekonomi tersebut (&lt; 1 hektar)</w:t>
            </w:r>
          </w:p>
        </w:tc>
        <w:tc>
          <w:tcPr>
            <w:tcW w:w="1070" w:type="dxa"/>
            <w:tcBorders>
              <w:top w:val="nil"/>
              <w:left w:val="nil"/>
              <w:bottom w:val="single" w:sz="4" w:space="0" w:color="auto"/>
              <w:right w:val="single" w:sz="4" w:space="0" w:color="auto"/>
            </w:tcBorders>
            <w:shd w:val="clear" w:color="000000" w:fill="000000"/>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Posisi kami di daerah hanya mengirimkan data berkas perizinan ke pusat. Semuanya sesuai aturan yang ada. Kewenangan mengeluarkan izin (diberikan atau ditolak) semua ada di pusat. Kecuali untuk perizinan non ekonomi (kurang dari satu hektar) maka itu di putuskan disini</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Isu dalam PGA REDD+</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V. Pengendalian dan Penegakan Hukum  </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Pimpinan KPH Provinsi/Kabupaten </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lastRenderedPageBreak/>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32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BVa1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Kinerja KPH dalam penerapan sistem pengendalian internal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KPH</w:t>
            </w:r>
          </w:p>
        </w:tc>
        <w:tc>
          <w:tcPr>
            <w:tcW w:w="603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Tidak ada KPH di Sumsel</w:t>
            </w:r>
          </w:p>
        </w:tc>
      </w:tr>
      <w:tr w:rsidR="00FD3B79" w:rsidRPr="00FD3B79" w:rsidTr="00FD3B7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BVa2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KPH</w:t>
            </w:r>
          </w:p>
        </w:tc>
        <w:tc>
          <w:tcPr>
            <w:tcW w:w="6037" w:type="dxa"/>
            <w:gridSpan w:val="4"/>
            <w:vMerge/>
            <w:tcBorders>
              <w:top w:val="nil"/>
              <w:left w:val="nil"/>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Bagian kepegawaian Polda/Polres/Polresta</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BVb1</w:t>
            </w:r>
          </w:p>
        </w:tc>
        <w:tc>
          <w:tcPr>
            <w:tcW w:w="1277"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635" w:type="dxa"/>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080" w:type="dxa"/>
            <w:tcBorders>
              <w:top w:val="nil"/>
              <w:left w:val="nil"/>
              <w:bottom w:val="single" w:sz="4" w:space="0" w:color="auto"/>
              <w:right w:val="single" w:sz="4" w:space="0" w:color="auto"/>
            </w:tcBorders>
            <w:shd w:val="clear" w:color="000000" w:fill="F2DDDC"/>
            <w:noWrap/>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Polda</w:t>
            </w:r>
          </w:p>
        </w:tc>
        <w:tc>
          <w:tcPr>
            <w:tcW w:w="603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Polda tidak dapat diwawancarai, karena sedang sibuk menangani beberapa kasus. Peneliti sudah beberapa kali datang ke  kantor Polda dan mengajukan permohonan wawancara. Mereka berjanji untuk diwawancarai, tapi tidak bisa dikonfirmasi</w:t>
            </w:r>
          </w:p>
        </w:tc>
      </w:tr>
      <w:tr w:rsidR="00FD3B79" w:rsidRPr="00FD3B79" w:rsidTr="00FD3B7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BVb2</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Sertifikat/Bukti Keikutsertaan pelatihan</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080" w:type="dxa"/>
            <w:tcBorders>
              <w:top w:val="nil"/>
              <w:left w:val="nil"/>
              <w:bottom w:val="single" w:sz="4" w:space="0" w:color="auto"/>
              <w:right w:val="single" w:sz="4" w:space="0" w:color="auto"/>
            </w:tcBorders>
            <w:shd w:val="clear" w:color="000000" w:fill="F2DDDC"/>
            <w:noWrap/>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Polda</w:t>
            </w:r>
          </w:p>
        </w:tc>
        <w:tc>
          <w:tcPr>
            <w:tcW w:w="6037" w:type="dxa"/>
            <w:gridSpan w:val="4"/>
            <w:vMerge/>
            <w:tcBorders>
              <w:top w:val="nil"/>
              <w:left w:val="nil"/>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p>
        </w:tc>
      </w:tr>
      <w:tr w:rsidR="00FD3B79" w:rsidRPr="00FD3B79" w:rsidTr="00FD3B7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BVb3</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Pengalaman kerja dalam bidang yang terkait pidana kehutanan dan lingkungan</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080" w:type="dxa"/>
            <w:tcBorders>
              <w:top w:val="nil"/>
              <w:left w:val="nil"/>
              <w:bottom w:val="single" w:sz="4" w:space="0" w:color="auto"/>
              <w:right w:val="single" w:sz="4" w:space="0" w:color="auto"/>
            </w:tcBorders>
            <w:shd w:val="clear" w:color="000000" w:fill="F2DDDC"/>
            <w:noWrap/>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Polda</w:t>
            </w:r>
          </w:p>
        </w:tc>
        <w:tc>
          <w:tcPr>
            <w:tcW w:w="6037" w:type="dxa"/>
            <w:gridSpan w:val="4"/>
            <w:vMerge/>
            <w:tcBorders>
              <w:top w:val="nil"/>
              <w:left w:val="nil"/>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45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lastRenderedPageBreak/>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Bagian kepegawaian Kejati/Kejari</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BVc1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Kejari/Kajati</w:t>
            </w:r>
          </w:p>
        </w:tc>
        <w:tc>
          <w:tcPr>
            <w:tcW w:w="6037"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Kajati tidak bisa diwawancarai karena terkenadala birokrasi perijinan</w:t>
            </w:r>
          </w:p>
        </w:tc>
      </w:tr>
      <w:tr w:rsidR="00FD3B79" w:rsidRPr="00FD3B79" w:rsidTr="00FD3B7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BVc2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Sertifikat/Bukti Keikutsertaan pelatihan</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Kejari/Kajati</w:t>
            </w:r>
          </w:p>
        </w:tc>
        <w:tc>
          <w:tcPr>
            <w:tcW w:w="6037" w:type="dxa"/>
            <w:gridSpan w:val="4"/>
            <w:vMerge/>
            <w:tcBorders>
              <w:top w:val="nil"/>
              <w:left w:val="nil"/>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p>
        </w:tc>
      </w:tr>
      <w:tr w:rsidR="00FD3B79" w:rsidRPr="00FD3B79" w:rsidTr="00FD3B7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BVc3</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Pengalaman kerja dalam bidang yang terkait pidana kehutanan dan lingkungan</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Kejari/Kajati</w:t>
            </w:r>
          </w:p>
        </w:tc>
        <w:tc>
          <w:tcPr>
            <w:tcW w:w="6037" w:type="dxa"/>
            <w:gridSpan w:val="4"/>
            <w:vMerge/>
            <w:tcBorders>
              <w:top w:val="nil"/>
              <w:left w:val="nil"/>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45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Bagian kepegawaian Pengadilan Tinggi/Pengadilan Negeri</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BVd1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Pengadilan Negeri/PT </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hyperlink r:id="rId4" w:history="1">
              <w:r w:rsidRPr="00FD3B79">
                <w:rPr>
                  <w:rFonts w:ascii="Times New Roman" w:eastAsia="Times New Roman" w:hAnsi="Times New Roman" w:cs="Times New Roman"/>
                  <w:sz w:val="20"/>
                  <w:lang w:eastAsia="id-ID"/>
                </w:rPr>
                <w:t xml:space="preserve">Data /dokumen tidak bisa diperoleh, dalam situs www.pt-palembang.info tentang profil hakim tinggi, tidak ada penjelasan khusus terkait sertifikasi/kompetensi hakim tinggi untuk masalah lingkungan/ kehutanan </w:t>
              </w:r>
            </w:hyperlink>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Ada hakim khusus yang memiliki kualifikasi ahli kehutanan dan lingkungan. Sekarang mereka jadi wakil ketua PT Palangkaraya. Sedangkan hakim hakim tinggi yang baru, belum ada data, yang lebih banyak justru ditingkat PN.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2</w:t>
            </w:r>
          </w:p>
        </w:tc>
      </w:tr>
      <w:tr w:rsidR="00FD3B79" w:rsidRPr="00FD3B79" w:rsidTr="00FD3B7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lastRenderedPageBreak/>
              <w:t>BVd2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Sertifikat/Bukti Keikutsertaan pelatihan</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Pengadilan Negeri/PT </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hyperlink r:id="rId5" w:history="1">
              <w:r w:rsidRPr="00FD3B79">
                <w:rPr>
                  <w:rFonts w:ascii="Times New Roman" w:eastAsia="Times New Roman" w:hAnsi="Times New Roman" w:cs="Times New Roman"/>
                  <w:sz w:val="20"/>
                  <w:lang w:eastAsia="id-ID"/>
                </w:rPr>
                <w:t>Tidak ada data pendukung, dalam situs www.pt-palembang.info, data personel hakim tinggi di PT Palembang bersifat sangat umum (penjelasan jenjang karir ketimbang segi kompetensi hakim (pendidikan, pelatihan, sertifikasi, dll)</w:t>
              </w:r>
            </w:hyperlink>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Field note: Tidak tahu secara pasti jumlahnya. Total hakim di PT ada 22 ditambah 2 hakim tipikor. informan menjawab bahwa hampir semua hakim yang senior mampu dan memiliki sertifikasi terkait masalah kehutanan dan lingkungan</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BVd3</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Pengalaman kerja dalam bidang yang terkait pidana kehutanan dan lingkungan</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Pengadilan Negeri/PT </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hyperlink r:id="rId6" w:history="1">
              <w:r w:rsidRPr="00FD3B79">
                <w:rPr>
                  <w:rFonts w:ascii="Times New Roman" w:eastAsia="Times New Roman" w:hAnsi="Times New Roman" w:cs="Times New Roman"/>
                  <w:sz w:val="20"/>
                  <w:lang w:eastAsia="id-ID"/>
                </w:rPr>
                <w:t>Tidak ada data pendukung, dalam situs www.pt-palembang.info, data personel hakim tinggi di PT Palembang bersifat sangat umum (penjelasan jenjang karir ketimbang segi kompetensi hakim (pendidikan, pelatihan, sertifikasi, dll)</w:t>
              </w:r>
            </w:hyperlink>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Sengketa masalah lingkungan/hutan lebih banyak ke aspek pidana ketimbang perdata. Secara pengalaman mereka di tingkat PN sudah cukup memadai.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34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24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Unit reskrim Polda, Unit reskrim Polres/Polresta</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780"/>
        </w:trPr>
        <w:tc>
          <w:tcPr>
            <w:tcW w:w="856" w:type="dxa"/>
            <w:vMerge w:val="restart"/>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BVe1</w:t>
            </w:r>
          </w:p>
        </w:tc>
        <w:tc>
          <w:tcPr>
            <w:tcW w:w="1277"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635" w:type="dxa"/>
            <w:vMerge w:val="restart"/>
            <w:tcBorders>
              <w:top w:val="nil"/>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Kejari/Kajati</w:t>
            </w:r>
          </w:p>
        </w:tc>
        <w:tc>
          <w:tcPr>
            <w:tcW w:w="6037" w:type="dxa"/>
            <w:gridSpan w:val="4"/>
            <w:tcBorders>
              <w:top w:val="single" w:sz="4" w:space="0" w:color="auto"/>
              <w:left w:val="nil"/>
              <w:bottom w:val="single" w:sz="4" w:space="0" w:color="auto"/>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Kajati tidak bisa diwawancarai karena terkenadala birokrasi perijinan</w:t>
            </w:r>
          </w:p>
        </w:tc>
      </w:tr>
      <w:tr w:rsidR="00FD3B79" w:rsidRPr="00FD3B79" w:rsidTr="00FD3B79">
        <w:trPr>
          <w:trHeight w:val="78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 xml:space="preserve">Polres/Polda </w:t>
            </w:r>
          </w:p>
        </w:tc>
        <w:tc>
          <w:tcPr>
            <w:tcW w:w="6037" w:type="dxa"/>
            <w:gridSpan w:val="4"/>
            <w:tcBorders>
              <w:top w:val="single" w:sz="4" w:space="0" w:color="auto"/>
              <w:left w:val="nil"/>
              <w:bottom w:val="single" w:sz="4" w:space="0" w:color="auto"/>
              <w:right w:val="single" w:sz="4" w:space="0" w:color="000000"/>
            </w:tcBorders>
            <w:shd w:val="clear" w:color="000000" w:fill="F2DDDC"/>
            <w:hideMark/>
          </w:tcPr>
          <w:p w:rsidR="00FD3B79" w:rsidRPr="00FD3B79" w:rsidRDefault="00FD3B79" w:rsidP="00FD3B79">
            <w:pPr>
              <w:spacing w:after="0" w:line="240" w:lineRule="auto"/>
              <w:jc w:val="center"/>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Polda tidak dapat diwawancarai, karena sedang sibuk menangani beberapa kasus. Peneliti sudah beberapa kali datang ke  kantor Polda dan mengajukan permohonan wawancara. Mereka berjanji untuk diwawancarai, tapi tidak bisa dikonfirmasi</w:t>
            </w:r>
          </w:p>
        </w:tc>
      </w:tr>
      <w:tr w:rsidR="00FD3B79" w:rsidRPr="00FD3B79" w:rsidTr="00FD3B79">
        <w:trPr>
          <w:trHeight w:val="1590"/>
        </w:trPr>
        <w:tc>
          <w:tcPr>
            <w:tcW w:w="856"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vMerge/>
            <w:tcBorders>
              <w:top w:val="nil"/>
              <w:left w:val="single" w:sz="4" w:space="0" w:color="auto"/>
              <w:bottom w:val="single" w:sz="4" w:space="0" w:color="auto"/>
              <w:right w:val="single" w:sz="4" w:space="0" w:color="auto"/>
            </w:tcBorders>
            <w:vAlign w:val="center"/>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Pengadilan Negeri/PT</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hyperlink r:id="rId7" w:history="1">
              <w:r w:rsidRPr="00FD3B79">
                <w:rPr>
                  <w:rFonts w:ascii="Times New Roman" w:eastAsia="Times New Roman" w:hAnsi="Times New Roman" w:cs="Times New Roman"/>
                  <w:sz w:val="20"/>
                  <w:lang w:eastAsia="id-ID"/>
                </w:rPr>
                <w:t>Di situs website; www.pt-palembang.info tidak ada spesifik kasus sengketa lahan/lingkungan. Hanya ada data statisktik perkara yang diputus oleh PT secara umum (no perkara, no putusan</w:t>
              </w:r>
            </w:hyperlink>
          </w:p>
        </w:tc>
        <w:tc>
          <w:tcPr>
            <w:tcW w:w="107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terlalu banyak kasus sengketa/pidana lingkungan / kehutanan yang dibawa ke PT, lebih banyak diselesaikan tingkat PN. Karena alas an keamanan, seringkali kasus tidak dilanjutkan ke PT</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Isu dalam PGA REDD+</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VI. Infrastruktur REDD+</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a.  Keberadaan lembaga REDD+ di Nasional dan Sub nasional</w:t>
            </w:r>
          </w:p>
        </w:tc>
      </w:tr>
      <w:tr w:rsidR="00FD3B79" w:rsidRPr="00FD3B79" w:rsidTr="00FD3B79">
        <w:trPr>
          <w:trHeight w:val="36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lastRenderedPageBreak/>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Nasional: UKP4 (Satgas REDD+)</w:t>
            </w:r>
            <w:r w:rsidRPr="00FD3B7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BVIa1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Ada atau tidak adanya lembaga REDD+ di Nasional dan Sub 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terdapat lembaga REDD+ di Nasional dan Sub nasional?</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sz w:val="20"/>
                <w:szCs w:val="20"/>
                <w:lang w:eastAsia="id-ID"/>
              </w:rPr>
            </w:pPr>
            <w:r w:rsidRPr="00FD3B79">
              <w:rPr>
                <w:rFonts w:ascii="Times New Roman" w:eastAsia="Times New Roman" w:hAnsi="Times New Roman" w:cs="Times New Roman"/>
                <w:sz w:val="20"/>
                <w:szCs w:val="20"/>
                <w:lang w:eastAsia="id-ID"/>
              </w:rPr>
              <w:t xml:space="preserve">SK Gubernur Sumsel No 465/KPTS/BAPPEDA/2011 tentang pembentukan Tim Koordinasi dan Kelompok Kerja Perubahan Iklim Provinsi Sumatera Selatan tanggal 9 Juni 2011 berisikan pokja REDD lebih banyak diisi oleh internal SKPD dan tidak melibatkan pihak luar </w:t>
            </w:r>
          </w:p>
        </w:tc>
        <w:tc>
          <w:tcPr>
            <w:tcW w:w="107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Ada pokja REDD tapi keberadaan nya kurang memadai karena masih baru terbentuk, lebih banyak diisi oleh internal SKPD terkait, dan tidak meilbatkan masyarakat luar</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2</w:t>
            </w:r>
          </w:p>
        </w:tc>
      </w:tr>
      <w:tr w:rsidR="00FD3B79" w:rsidRPr="00FD3B79" w:rsidTr="00FD3B7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BVIa2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dukungan peraturan ter-hadap lembaga REDD+ sudah memadai?</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Dukungan peraturan terhadap REDD masih sebatas SKGubernur dan itupun tidak khusus REDD tapi menjadikan REDD bagian dari Tim Koordinasi dan Pokja Perubahan Iklim tingkat Provinsi</w:t>
            </w:r>
          </w:p>
        </w:tc>
        <w:tc>
          <w:tcPr>
            <w:tcW w:w="107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Kelembagaan REDD di Sumsel masuk bagian dari tim koordinasi kelompok kerja perubahan iklim, bukan kelembagaan REDD tersendiri.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FD3B79" w:rsidRPr="00FD3B79" w:rsidTr="00FD3B79">
        <w:trPr>
          <w:trHeight w:val="58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single" w:sz="4" w:space="0" w:color="auto"/>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Nasional: UKP4 (Satgas REDD+)</w:t>
            </w:r>
            <w:r w:rsidRPr="00FD3B7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BVIb1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Ada atau tidak adanya lembaga MRV di Nasional dan Sub 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terdapat lembaga MRV di Nasional dan Sub nasional?</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tentang MRV karena kelembagaanMRV masih belum dibentuk ditingkat subnasional </w:t>
            </w:r>
          </w:p>
        </w:tc>
        <w:tc>
          <w:tcPr>
            <w:tcW w:w="107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kelembagaan MRV ditingkat sub nasional karena kelembagaan REDD masih baru tahap inisiasi awal, dan belum berjalan secara normal</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BVIb2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dukungan peraturan ter-hadap lembaga MRV sudah memadai?</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dukungan peraturan terhadap MRV ditingkat sub nasional karena Pokja REDD di sub nasional masih baru dibentuk dengan dasar SK Gubernur</w:t>
            </w:r>
          </w:p>
        </w:tc>
        <w:tc>
          <w:tcPr>
            <w:tcW w:w="107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dukungan peraturan MRV yang ada baru SK tentang REDD dan masih tahap persiapan, belum sampai pelaksanaan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45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lastRenderedPageBreak/>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3970" w:type="dxa"/>
            <w:gridSpan w:val="3"/>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c. Keberadaan lembaga finansial di Nasional dan Sub nasional</w:t>
            </w: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Nasional: UKP4 (Satgas REDD+)</w:t>
            </w:r>
            <w:r w:rsidRPr="00FD3B7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BVIc1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Ada atau tidak adanya lembaga finansial di tingkat Nasional dan Sub 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terdapat lembaga finansial di tingkat Nasional dan Sub nasional?</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 karena tidak ada lembaga finansial ditingkat sub nasional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lembaga financial ditingkat sub nasional REDD Sumsel. Lembaga financial baru ada ditingkat pusat (Jakarta) Dukungan pendanaan REDD baru tahap awal pengajuan ke APBD, dan lebih untuk mendukung kegiatan koordinasi dan sosialisasi (SPPD menghadiri undangan ke Jakarta dan kegiatan di daerah)</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BVIc2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dukungan peraturan ter-hadap lembaga finansial sudah memadai?</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dokumen yang diberikan terkait dukungan peraturan lembaga finansial karena tidak lembaga finansial di REDD Provinsi.</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dukungan peraturan terkait kelembagaan finasial di subnasional yang mendukung kegiatan REDD. Kegiatan REDD masih bersumber dari APBD (tahap awal persiapan pelaksanaan)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45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Ketua Satgas REDD+/Pokja REDD+</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BVId1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rata-rata mereka yang terlibat dala REDD berasal dari SKPD yang terkait (Kehutanan, Bappeda, PU, dan lainnya) dengan latar pendidikan s1 dan sesuai dengan bidangnya</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Secara pendidikan cukup memadai, lulusan s1 dan pengalaman kerja lebih dari 3 tahun, karena mereka yang masuk REDD berasal dari eselon III-IV (kabis, kasie, sekretaris dinas). SDM pokja berasal daridinas SKPD terkait.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80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BVId2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bukti documen tertulis hanya berdasarkan penjelasan informan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Ada sebagian yang sudah mendapat pelatihan teknis (Bintek) dari instansi vertikalnya terkait tata kelola  bidang hutan dan lingkungan hidup. Ada istilah ganis (tenaga teknis) was ganis (pengawasan tenaga teknis) yang dikeluarkan oleh dirjen di kementerian kehutanan. Sertifikasi itu untuk ganis dan wasganis yang ada diklatnya. Ganis dan wasganis yang melatih pusat (UPT) dan SK yang mengeluarkan dinas kehutanan.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102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BVId3</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bukti documen tertulis hanya berdasarkan penjelasan informan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Ada sebagian yang memiliki pengalaman kerja terkait tata pengelolaan bidang hutan dan lingkungan hidup khususnya yang dari dinas kehutanan dan lingkungan hidup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5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FD3B79">
              <w:rPr>
                <w:rFonts w:ascii="Times New Roman" w:eastAsia="Times New Roman" w:hAnsi="Times New Roman" w:cs="Times New Roman"/>
                <w:b/>
                <w:bCs/>
                <w:color w:val="000000"/>
                <w:sz w:val="20"/>
                <w:szCs w:val="20"/>
                <w:lang w:eastAsia="id-ID"/>
              </w:rPr>
              <w:br/>
              <w:t xml:space="preserve"> (Strategi, monitoring, lembaga)</w:t>
            </w:r>
          </w:p>
        </w:tc>
      </w:tr>
      <w:tr w:rsidR="00FD3B79" w:rsidRPr="00FD3B79" w:rsidTr="00FD3B79">
        <w:trPr>
          <w:trHeight w:val="36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single" w:sz="4" w:space="0" w:color="auto"/>
              <w:right w:val="nil"/>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Nasional: Ketua Satgas REDD+</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357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BVIe1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document yang diberikan dan tidak tersedia, lebih berdasarkan persepsi informan.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Dana secara khusus untuk REDD masih belum teralokasikan. Yang ada baru sebatas usulan kegiatan REDD untuk penghitungan carbon serta dana operasional untuk kegiatan koordinasi REDD di Jakarta (SPPD) tapi itu adalah dana Dinas Kehutanan memfasilitasi kegiatan REDD bukan dana pokja REDD. Dana pelatihan pengukuran  gas emisi 195 juta, sedangkan dana pelatihan penghitungan karboan 160 juta/paket. Dalam satu tahun ada 4 paket pelatihan penghitungan carbon, dan 1 paket pelatihan pengukuran emisi. Satu paket peserta 30 orang dari berbagai stakeholder terkait</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3</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45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5735" w:type="dxa"/>
            <w:gridSpan w:val="4"/>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70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single" w:sz="4" w:space="0" w:color="auto"/>
              <w:right w:val="nil"/>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:Nasional: UKP4 (Satgas REDD+)</w:t>
            </w:r>
            <w:r w:rsidRPr="00FD3B7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204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BVIf1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Ada atau tidak adanya kerangka pengaman di tingkat Nasional dan Sub 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terdapat kerangka pengaman di tingkat Nasional dan Sub nasional?</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 yang diberikan karena kerangka pengaman tingkat sub nasional belum terbentuk dengan alasan Pokja REDD Sumsel baru terbentuk, tidak ada alokasi anggaran secara khusus</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kerangka pengaman untuk REDD di tingkat provinsi. Alasannya karena REDD di sumsel masih baru tahap persiapan, belum terbentuk struktur, tidak ada alokasi anggarna khusus. Selain itu save guard ditingkat nasional juga masih dalam tahap perdebatan, dan tidak ada amanah ditingkat provinsi untuk membentuk save guard</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275"/>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BVIf2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dukungan peraturan ter-hadap kerangka pengaman sudah memadai?</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documen yang diberikan karena tidak ada peraturan dukungan untuk kerangka pengaman </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Tidak ada peraturan dalam mendukung kerangka pengaman. REDD masih baru tahap persiapan, belum berjalan masih terbatas SDM dan anggaran, tidak ada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255"/>
        </w:trPr>
        <w:tc>
          <w:tcPr>
            <w:tcW w:w="856"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277"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63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08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82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c>
          <w:tcPr>
            <w:tcW w:w="1765" w:type="dxa"/>
            <w:tcBorders>
              <w:top w:val="nil"/>
              <w:left w:val="nil"/>
              <w:bottom w:val="nil"/>
              <w:right w:val="nil"/>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p>
        </w:tc>
      </w:tr>
      <w:tr w:rsidR="00FD3B79" w:rsidRPr="00FD3B79" w:rsidTr="00FD3B79">
        <w:trPr>
          <w:trHeight w:val="690"/>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Indikator</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7117" w:type="dxa"/>
            <w:gridSpan w:val="5"/>
            <w:tcBorders>
              <w:top w:val="nil"/>
              <w:left w:val="nil"/>
              <w:bottom w:val="nil"/>
              <w:right w:val="nil"/>
            </w:tcBorders>
            <w:shd w:val="clear" w:color="auto" w:fill="auto"/>
            <w:hideMark/>
          </w:tcPr>
          <w:p w:rsidR="00FD3B79" w:rsidRPr="00FD3B79" w:rsidRDefault="00FD3B79" w:rsidP="00FD3B79">
            <w:pPr>
              <w:spacing w:after="24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FD3B79">
              <w:rPr>
                <w:rFonts w:ascii="Times New Roman" w:eastAsia="Times New Roman" w:hAnsi="Times New Roman" w:cs="Times New Roman"/>
                <w:b/>
                <w:bCs/>
                <w:color w:val="000000"/>
                <w:sz w:val="20"/>
                <w:szCs w:val="20"/>
                <w:lang w:eastAsia="id-ID"/>
              </w:rPr>
              <w:br/>
              <w:t xml:space="preserve">  akibat pembagian hasil REDD+</w:t>
            </w:r>
          </w:p>
        </w:tc>
      </w:tr>
      <w:tr w:rsidR="00FD3B79" w:rsidRPr="00FD3B79" w:rsidTr="00FD3B79">
        <w:trPr>
          <w:trHeight w:val="255"/>
        </w:trPr>
        <w:tc>
          <w:tcPr>
            <w:tcW w:w="2133"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Wawancara - Sumber informasi</w:t>
            </w:r>
          </w:p>
        </w:tc>
        <w:tc>
          <w:tcPr>
            <w:tcW w:w="163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2900" w:type="dxa"/>
            <w:gridSpan w:val="2"/>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 Ketua Satgas REDD+/Pokja REDD+</w:t>
            </w:r>
          </w:p>
        </w:tc>
        <w:tc>
          <w:tcPr>
            <w:tcW w:w="1070"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765" w:type="dxa"/>
            <w:tcBorders>
              <w:top w:val="nil"/>
              <w:left w:val="nil"/>
              <w:bottom w:val="nil"/>
              <w:right w:val="nil"/>
            </w:tcBorders>
            <w:shd w:val="clear" w:color="auto" w:fill="auto"/>
            <w:noWrap/>
            <w:hideMark/>
          </w:tcPr>
          <w:p w:rsidR="00FD3B79" w:rsidRPr="00FD3B79" w:rsidRDefault="00FD3B79" w:rsidP="00FD3B7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p>
        </w:tc>
      </w:tr>
      <w:tr w:rsidR="00FD3B79" w:rsidRPr="00FD3B79" w:rsidTr="00FD3B79">
        <w:trPr>
          <w:trHeight w:val="510"/>
        </w:trPr>
        <w:tc>
          <w:tcPr>
            <w:tcW w:w="856" w:type="dxa"/>
            <w:tcBorders>
              <w:top w:val="single" w:sz="4" w:space="0" w:color="auto"/>
              <w:left w:val="single" w:sz="4" w:space="0" w:color="auto"/>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Kode</w:t>
            </w:r>
          </w:p>
        </w:tc>
        <w:tc>
          <w:tcPr>
            <w:tcW w:w="1277"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Panduan Analisis Dokumen</w:t>
            </w:r>
          </w:p>
        </w:tc>
        <w:tc>
          <w:tcPr>
            <w:tcW w:w="163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Pertanyaan Wawancara</w:t>
            </w:r>
          </w:p>
        </w:tc>
        <w:tc>
          <w:tcPr>
            <w:tcW w:w="108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Sumber Data</w:t>
            </w:r>
          </w:p>
        </w:tc>
        <w:tc>
          <w:tcPr>
            <w:tcW w:w="182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Dokumen</w:t>
            </w:r>
          </w:p>
        </w:tc>
        <w:tc>
          <w:tcPr>
            <w:tcW w:w="1070"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Dokumen</w:t>
            </w:r>
          </w:p>
        </w:tc>
        <w:tc>
          <w:tcPr>
            <w:tcW w:w="1765"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b/>
                <w:bCs/>
                <w:color w:val="000000"/>
                <w:sz w:val="20"/>
                <w:szCs w:val="20"/>
                <w:lang w:eastAsia="id-ID"/>
              </w:rPr>
            </w:pPr>
            <w:r w:rsidRPr="00FD3B79">
              <w:rPr>
                <w:rFonts w:ascii="Times New Roman" w:eastAsia="Times New Roman" w:hAnsi="Times New Roman" w:cs="Times New Roman"/>
                <w:b/>
                <w:bCs/>
                <w:color w:val="000000"/>
                <w:sz w:val="20"/>
                <w:szCs w:val="20"/>
                <w:lang w:eastAsia="id-ID"/>
              </w:rPr>
              <w:t>Kategori Data Wawancara</w:t>
            </w:r>
          </w:p>
        </w:tc>
      </w:tr>
      <w:tr w:rsidR="00FD3B79" w:rsidRPr="00FD3B79" w:rsidTr="00FD3B7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BVIg1</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 terkait kualifikasi SDM untuk mediasi konflik pembagian hasil REDD di tingkat sub nasional. Alasanya kelembagaan REDD masih tahap persiapan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Informan menganggap Pertanyaan ini tidak relevan karena REDD ditingkat provinsi masih dalam tahap persiapan, tapi sudah berbicara pembagian hasil REDD dan diasumsikan ada konflik didalamnya</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BVIg2</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Sertifikat/Bukti Keikutsertaan pelatihan mediasi konflik pembagian hasil REDD+</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 terkait kualifikasi SDM yang memiliki bukti pelatihan mediasi konflik hasil REDD di tingkat sub nasional. Alasanya kelembagaan REDD masih tahap persiapan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Secara spesifik belum ada pelatihan mediasi konflik yang dilakukan pokja REDD terkait pembagian hasil, tapi untuk SDM di REDD pernah ada yang memiliki pengalaman pelatihan mediasi konflik yang dilakukan instansi vertikalnya </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r>
      <w:tr w:rsidR="00FD3B79" w:rsidRPr="00FD3B79" w:rsidTr="00FD3B79">
        <w:trPr>
          <w:trHeight w:val="1530"/>
        </w:trPr>
        <w:tc>
          <w:tcPr>
            <w:tcW w:w="856" w:type="dxa"/>
            <w:tcBorders>
              <w:top w:val="nil"/>
              <w:left w:val="single" w:sz="4" w:space="0" w:color="auto"/>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BVIg3</w:t>
            </w:r>
          </w:p>
        </w:tc>
        <w:tc>
          <w:tcPr>
            <w:tcW w:w="1277"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 xml:space="preserve">Pengalaman kerja dalam medi-asi konflik pembagian hasil REDD+ </w:t>
            </w:r>
          </w:p>
        </w:tc>
        <w:tc>
          <w:tcPr>
            <w:tcW w:w="163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080"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Satgas REDD+</w:t>
            </w:r>
          </w:p>
        </w:tc>
        <w:tc>
          <w:tcPr>
            <w:tcW w:w="182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tidak ada documen terkait kualifikasi SDM yang memiliki pengalaman kerja terkait mediasi konflik pembagian hasil REDD di tingkat sub nasional. Alasanya kelembagaan REDD masih tahap persiapan</w:t>
            </w:r>
          </w:p>
        </w:tc>
        <w:tc>
          <w:tcPr>
            <w:tcW w:w="1070"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1</w:t>
            </w:r>
          </w:p>
        </w:tc>
        <w:tc>
          <w:tcPr>
            <w:tcW w:w="1765" w:type="dxa"/>
            <w:tcBorders>
              <w:top w:val="nil"/>
              <w:left w:val="nil"/>
              <w:bottom w:val="single" w:sz="4" w:space="0" w:color="auto"/>
              <w:right w:val="single" w:sz="4" w:space="0" w:color="auto"/>
            </w:tcBorders>
            <w:shd w:val="clear" w:color="auto" w:fill="auto"/>
            <w:hideMark/>
          </w:tcPr>
          <w:p w:rsidR="00FD3B79" w:rsidRPr="00FD3B79" w:rsidRDefault="00FD3B79" w:rsidP="00FD3B79">
            <w:pPr>
              <w:spacing w:after="0" w:line="240" w:lineRule="auto"/>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Belum pernah ada pengalaman mediasi konflik pembagian hasil REDD, karena pokja REDD masih baru tahap awal persiapan</w:t>
            </w:r>
          </w:p>
        </w:tc>
        <w:tc>
          <w:tcPr>
            <w:tcW w:w="1382" w:type="dxa"/>
            <w:tcBorders>
              <w:top w:val="nil"/>
              <w:left w:val="nil"/>
              <w:bottom w:val="single" w:sz="4" w:space="0" w:color="auto"/>
              <w:right w:val="single" w:sz="4" w:space="0" w:color="auto"/>
            </w:tcBorders>
            <w:shd w:val="clear" w:color="auto" w:fill="auto"/>
            <w:noWrap/>
            <w:hideMark/>
          </w:tcPr>
          <w:p w:rsidR="00FD3B79" w:rsidRPr="00FD3B79" w:rsidRDefault="00FD3B79" w:rsidP="00FD3B79">
            <w:pPr>
              <w:spacing w:after="0" w:line="240" w:lineRule="auto"/>
              <w:jc w:val="center"/>
              <w:rPr>
                <w:rFonts w:ascii="Times New Roman" w:eastAsia="Times New Roman" w:hAnsi="Times New Roman" w:cs="Times New Roman"/>
                <w:color w:val="000000"/>
                <w:sz w:val="20"/>
                <w:szCs w:val="20"/>
                <w:lang w:eastAsia="id-ID"/>
              </w:rPr>
            </w:pPr>
            <w:r w:rsidRPr="00FD3B79">
              <w:rPr>
                <w:rFonts w:ascii="Times New Roman" w:eastAsia="Times New Roman" w:hAnsi="Times New Roman" w:cs="Times New Roman"/>
                <w:color w:val="000000"/>
                <w:sz w:val="20"/>
                <w:szCs w:val="20"/>
                <w:lang w:eastAsia="id-ID"/>
              </w:rPr>
              <w:t>2</w:t>
            </w:r>
          </w:p>
        </w:tc>
      </w:tr>
    </w:tbl>
    <w:p w:rsidR="00FD3B79" w:rsidRDefault="00FD3B79"/>
    <w:sectPr w:rsidR="00FD3B7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D7E6A"/>
    <w:rsid w:val="0026067C"/>
    <w:rsid w:val="00265D91"/>
    <w:rsid w:val="004165D1"/>
    <w:rsid w:val="006E5970"/>
    <w:rsid w:val="009F3E98"/>
    <w:rsid w:val="00A91768"/>
    <w:rsid w:val="00BB5203"/>
    <w:rsid w:val="00D74DB4"/>
    <w:rsid w:val="00FD3B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D3B79"/>
    <w:pPr>
      <w:spacing w:before="100" w:beforeAutospacing="1" w:after="100" w:afterAutospacing="1" w:line="240" w:lineRule="auto"/>
    </w:pPr>
    <w:rPr>
      <w:rFonts w:ascii="Times New Roman" w:eastAsia="Times New Roman" w:hAnsi="Times New Roman" w:cs="Times New Roman"/>
      <w:sz w:val="20"/>
      <w:szCs w:val="20"/>
      <w:lang w:eastAsia="id-ID"/>
    </w:rPr>
  </w:style>
  <w:style w:type="paragraph" w:customStyle="1" w:styleId="font6">
    <w:name w:val="font6"/>
    <w:basedOn w:val="Normal"/>
    <w:rsid w:val="00FD3B79"/>
    <w:pPr>
      <w:spacing w:before="100" w:beforeAutospacing="1" w:after="100" w:afterAutospacing="1" w:line="240" w:lineRule="auto"/>
    </w:pPr>
    <w:rPr>
      <w:rFonts w:ascii="Times New Roman" w:eastAsia="Times New Roman" w:hAnsi="Times New Roman" w:cs="Times New Roman"/>
      <w:color w:val="FF0000"/>
      <w:sz w:val="20"/>
      <w:szCs w:val="20"/>
      <w:lang w:eastAsia="id-ID"/>
    </w:rPr>
  </w:style>
  <w:style w:type="paragraph" w:customStyle="1" w:styleId="xl111">
    <w:name w:val="xl111"/>
    <w:basedOn w:val="Normal"/>
    <w:rsid w:val="00FD3B79"/>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FD3B79"/>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FD3B7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14">
    <w:name w:val="xl114"/>
    <w:basedOn w:val="Normal"/>
    <w:rsid w:val="00FD3B7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15">
    <w:name w:val="xl115"/>
    <w:basedOn w:val="Normal"/>
    <w:rsid w:val="00FD3B7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16">
    <w:name w:val="xl116"/>
    <w:basedOn w:val="Normal"/>
    <w:rsid w:val="00FD3B79"/>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FD3B79"/>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FD3B79"/>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9">
    <w:name w:val="xl119"/>
    <w:basedOn w:val="Normal"/>
    <w:rsid w:val="00FD3B79"/>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FD3B79"/>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FD3B79"/>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2">
    <w:name w:val="xl122"/>
    <w:basedOn w:val="Normal"/>
    <w:rsid w:val="00FD3B79"/>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3">
    <w:name w:val="xl123"/>
    <w:basedOn w:val="Normal"/>
    <w:rsid w:val="00FD3B79"/>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4">
    <w:name w:val="xl124"/>
    <w:basedOn w:val="Normal"/>
    <w:rsid w:val="00FD3B79"/>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04884600">
      <w:bodyDiv w:val="1"/>
      <w:marLeft w:val="0"/>
      <w:marRight w:val="0"/>
      <w:marTop w:val="0"/>
      <w:marBottom w:val="0"/>
      <w:divBdr>
        <w:top w:val="none" w:sz="0" w:space="0" w:color="auto"/>
        <w:left w:val="none" w:sz="0" w:space="0" w:color="auto"/>
        <w:bottom w:val="none" w:sz="0" w:space="0" w:color="auto"/>
        <w:right w:val="none" w:sz="0" w:space="0" w:color="auto"/>
      </w:divBdr>
    </w:div>
    <w:div w:id="88244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t-palembang.inf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t-palembang.info/" TargetMode="External"/><Relationship Id="rId5" Type="http://schemas.openxmlformats.org/officeDocument/2006/relationships/hyperlink" Target="http://www.pt-palembang.info/" TargetMode="External"/><Relationship Id="rId4" Type="http://schemas.openxmlformats.org/officeDocument/2006/relationships/hyperlink" Target="http://www.pt-palembang.info/"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28</Pages>
  <Words>8781</Words>
  <Characters>50054</Characters>
  <Application>Microsoft Office Word</Application>
  <DocSecurity>0</DocSecurity>
  <Lines>417</Lines>
  <Paragraphs>117</Paragraphs>
  <ScaleCrop>false</ScaleCrop>
  <Company/>
  <LinksUpToDate>false</LinksUpToDate>
  <CharactersWithSpaces>58718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2012-10-16T10:47:00Z</dcterms:modified>
</cp:coreProperties>
</file>